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4DF6" w14:textId="4FC36F54" w:rsidR="00667A00" w:rsidRPr="008B62D7" w:rsidRDefault="005B7A0A" w:rsidP="00674C40">
      <w:pPr>
        <w:spacing w:after="0" w:line="240" w:lineRule="auto"/>
        <w:jc w:val="center"/>
        <w:rPr>
          <w:rFonts w:ascii="Times New Roman" w:hAnsi="Times New Roman"/>
          <w:b/>
          <w:sz w:val="24"/>
          <w:szCs w:val="24"/>
        </w:rPr>
      </w:pPr>
      <w:bookmarkStart w:id="0" w:name="_GoBack"/>
      <w:bookmarkEnd w:id="0"/>
      <w:r w:rsidRPr="008B62D7">
        <w:rPr>
          <w:rFonts w:ascii="Times New Roman" w:hAnsi="Times New Roman"/>
          <w:noProof/>
          <w:sz w:val="24"/>
          <w:szCs w:val="24"/>
          <w:lang w:val="en-GB" w:eastAsia="en-GB"/>
        </w:rPr>
        <w:drawing>
          <wp:inline distT="0" distB="0" distL="0" distR="0" wp14:anchorId="2B5FBD6A" wp14:editId="13842671">
            <wp:extent cx="555625" cy="5670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67055"/>
                    </a:xfrm>
                    <a:prstGeom prst="rect">
                      <a:avLst/>
                    </a:prstGeom>
                    <a:noFill/>
                    <a:ln>
                      <a:noFill/>
                    </a:ln>
                  </pic:spPr>
                </pic:pic>
              </a:graphicData>
            </a:graphic>
          </wp:inline>
        </w:drawing>
      </w:r>
    </w:p>
    <w:p w14:paraId="2558AC03" w14:textId="77777777" w:rsidR="00674C40" w:rsidRPr="008B62D7" w:rsidRDefault="00674C40" w:rsidP="00674C40">
      <w:pPr>
        <w:spacing w:after="0" w:line="240" w:lineRule="auto"/>
        <w:jc w:val="center"/>
        <w:rPr>
          <w:rFonts w:ascii="Times New Roman" w:hAnsi="Times New Roman"/>
          <w:b/>
          <w:bCs/>
          <w:sz w:val="24"/>
          <w:szCs w:val="24"/>
        </w:rPr>
      </w:pPr>
    </w:p>
    <w:p w14:paraId="55CBBA2B" w14:textId="77777777" w:rsidR="00667A00" w:rsidRPr="008B62D7" w:rsidRDefault="00667A00" w:rsidP="00674C40">
      <w:pPr>
        <w:spacing w:after="0" w:line="240" w:lineRule="auto"/>
        <w:jc w:val="center"/>
        <w:rPr>
          <w:rFonts w:ascii="Times New Roman" w:hAnsi="Times New Roman"/>
          <w:b/>
          <w:bCs/>
          <w:sz w:val="24"/>
          <w:szCs w:val="24"/>
        </w:rPr>
      </w:pPr>
      <w:r w:rsidRPr="008B62D7">
        <w:rPr>
          <w:rFonts w:ascii="Times New Roman" w:hAnsi="Times New Roman"/>
          <w:b/>
          <w:bCs/>
          <w:sz w:val="24"/>
          <w:szCs w:val="24"/>
        </w:rPr>
        <w:t>VIEŠŲJŲ PIRKIMŲ TARNYBA</w:t>
      </w:r>
    </w:p>
    <w:p w14:paraId="03B1DD9D" w14:textId="77777777" w:rsidR="00667A00" w:rsidRPr="008B62D7" w:rsidRDefault="00667A00" w:rsidP="00674C40">
      <w:pPr>
        <w:spacing w:after="0" w:line="240" w:lineRule="auto"/>
        <w:jc w:val="center"/>
        <w:rPr>
          <w:rFonts w:ascii="Times New Roman" w:hAnsi="Times New Roman"/>
          <w:b/>
          <w:bCs/>
          <w:sz w:val="24"/>
          <w:szCs w:val="24"/>
        </w:rPr>
      </w:pPr>
      <w:r w:rsidRPr="008B62D7">
        <w:rPr>
          <w:rFonts w:ascii="Times New Roman" w:hAnsi="Times New Roman"/>
          <w:b/>
          <w:bCs/>
          <w:sz w:val="24"/>
          <w:szCs w:val="24"/>
        </w:rPr>
        <w:t>KONTROLĖS SKYRIUS</w:t>
      </w:r>
    </w:p>
    <w:p w14:paraId="598F8947" w14:textId="77777777" w:rsidR="00674C40" w:rsidRPr="008B62D7" w:rsidRDefault="00674C40" w:rsidP="00674C40">
      <w:pPr>
        <w:spacing w:after="0" w:line="240" w:lineRule="auto"/>
        <w:jc w:val="center"/>
        <w:rPr>
          <w:rFonts w:ascii="Times New Roman" w:hAnsi="Times New Roman"/>
          <w:b/>
          <w:bCs/>
          <w:sz w:val="24"/>
          <w:szCs w:val="24"/>
        </w:rPr>
      </w:pPr>
    </w:p>
    <w:p w14:paraId="7292604D" w14:textId="77777777" w:rsidR="006760D4" w:rsidRPr="008B62D7" w:rsidRDefault="006760D4" w:rsidP="00674C40">
      <w:pPr>
        <w:spacing w:after="0" w:line="240" w:lineRule="auto"/>
        <w:jc w:val="center"/>
        <w:rPr>
          <w:rFonts w:ascii="Times New Roman" w:hAnsi="Times New Roman"/>
          <w:b/>
          <w:bCs/>
          <w:sz w:val="24"/>
          <w:szCs w:val="24"/>
        </w:rPr>
      </w:pPr>
      <w:r w:rsidRPr="008B62D7">
        <w:rPr>
          <w:rFonts w:ascii="Times New Roman" w:hAnsi="Times New Roman"/>
          <w:b/>
          <w:bCs/>
          <w:sz w:val="24"/>
          <w:szCs w:val="24"/>
        </w:rPr>
        <w:t>PI</w:t>
      </w:r>
      <w:r w:rsidR="00CD5FFF" w:rsidRPr="008B62D7">
        <w:rPr>
          <w:rFonts w:ascii="Times New Roman" w:hAnsi="Times New Roman"/>
          <w:b/>
          <w:bCs/>
          <w:sz w:val="24"/>
          <w:szCs w:val="24"/>
        </w:rPr>
        <w:t>R</w:t>
      </w:r>
      <w:r w:rsidRPr="008B62D7">
        <w:rPr>
          <w:rFonts w:ascii="Times New Roman" w:hAnsi="Times New Roman"/>
          <w:b/>
          <w:bCs/>
          <w:sz w:val="24"/>
          <w:szCs w:val="24"/>
        </w:rPr>
        <w:t>KIMŲ VERTINIMO IŠVADA</w:t>
      </w:r>
    </w:p>
    <w:p w14:paraId="74855F4F" w14:textId="77777777" w:rsidR="00674C40" w:rsidRPr="008B62D7" w:rsidRDefault="00674C40" w:rsidP="00674C40">
      <w:pPr>
        <w:spacing w:after="0" w:line="240" w:lineRule="auto"/>
        <w:rPr>
          <w:rFonts w:ascii="Times New Roman" w:hAnsi="Times New Roman"/>
          <w:b/>
          <w:sz w:val="24"/>
          <w:szCs w:val="24"/>
        </w:rPr>
      </w:pPr>
    </w:p>
    <w:p w14:paraId="3BA644EC" w14:textId="77777777" w:rsidR="00674C40" w:rsidRPr="008B62D7" w:rsidRDefault="00674C40" w:rsidP="00674C40">
      <w:pPr>
        <w:spacing w:after="0" w:line="240" w:lineRule="auto"/>
        <w:jc w:val="center"/>
        <w:rPr>
          <w:rFonts w:ascii="Times New Roman" w:hAnsi="Times New Roman"/>
          <w:sz w:val="24"/>
          <w:szCs w:val="24"/>
        </w:rPr>
      </w:pPr>
      <w:r w:rsidRPr="008B62D7">
        <w:rPr>
          <w:rFonts w:ascii="Times New Roman" w:hAnsi="Times New Roman"/>
          <w:sz w:val="24"/>
          <w:szCs w:val="24"/>
        </w:rPr>
        <w:t>201</w:t>
      </w:r>
      <w:r w:rsidR="003C22F5" w:rsidRPr="008B62D7">
        <w:rPr>
          <w:rFonts w:ascii="Times New Roman" w:hAnsi="Times New Roman"/>
          <w:sz w:val="24"/>
          <w:szCs w:val="24"/>
        </w:rPr>
        <w:t>7</w:t>
      </w:r>
      <w:r w:rsidR="00C21AEB" w:rsidRPr="008B62D7">
        <w:rPr>
          <w:rFonts w:ascii="Times New Roman" w:hAnsi="Times New Roman"/>
          <w:sz w:val="24"/>
          <w:szCs w:val="24"/>
        </w:rPr>
        <w:t>-</w:t>
      </w:r>
      <w:r w:rsidR="00507A49" w:rsidRPr="008B62D7">
        <w:rPr>
          <w:rFonts w:ascii="Times New Roman" w:hAnsi="Times New Roman"/>
          <w:sz w:val="24"/>
          <w:szCs w:val="24"/>
        </w:rPr>
        <w:t>0</w:t>
      </w:r>
      <w:r w:rsidR="00507A49">
        <w:rPr>
          <w:rFonts w:ascii="Times New Roman" w:hAnsi="Times New Roman"/>
          <w:sz w:val="24"/>
          <w:szCs w:val="24"/>
        </w:rPr>
        <w:t>9</w:t>
      </w:r>
      <w:r w:rsidR="00C21AEB" w:rsidRPr="008B62D7">
        <w:rPr>
          <w:rFonts w:ascii="Times New Roman" w:hAnsi="Times New Roman"/>
          <w:sz w:val="24"/>
          <w:szCs w:val="24"/>
        </w:rPr>
        <w:t xml:space="preserve">-   </w:t>
      </w:r>
      <w:r w:rsidRPr="008B62D7">
        <w:rPr>
          <w:rFonts w:ascii="Times New Roman" w:hAnsi="Times New Roman"/>
          <w:sz w:val="24"/>
          <w:szCs w:val="24"/>
        </w:rPr>
        <w:t xml:space="preserve"> Nr. 4S-</w:t>
      </w:r>
    </w:p>
    <w:p w14:paraId="74AEE8E0" w14:textId="77777777" w:rsidR="00674C40" w:rsidRPr="008B62D7" w:rsidRDefault="00674C40" w:rsidP="00674C40">
      <w:pPr>
        <w:spacing w:after="0" w:line="240" w:lineRule="auto"/>
        <w:jc w:val="center"/>
        <w:rPr>
          <w:rFonts w:ascii="Times New Roman" w:hAnsi="Times New Roman"/>
          <w:sz w:val="24"/>
          <w:szCs w:val="24"/>
        </w:rPr>
      </w:pPr>
    </w:p>
    <w:p w14:paraId="7528BCBA" w14:textId="77777777" w:rsidR="00667A00" w:rsidRPr="008B62D7" w:rsidRDefault="00667A00" w:rsidP="00674C40">
      <w:pPr>
        <w:spacing w:after="0" w:line="240" w:lineRule="auto"/>
        <w:jc w:val="center"/>
        <w:rPr>
          <w:rFonts w:ascii="Times New Roman" w:hAnsi="Times New Roman"/>
          <w:sz w:val="24"/>
          <w:szCs w:val="24"/>
        </w:rPr>
      </w:pPr>
      <w:r w:rsidRPr="008B62D7">
        <w:rPr>
          <w:rFonts w:ascii="Times New Roman" w:hAnsi="Times New Roman"/>
          <w:sz w:val="24"/>
          <w:szCs w:val="24"/>
        </w:rPr>
        <w:t>Vilnius</w:t>
      </w:r>
    </w:p>
    <w:p w14:paraId="36DD2661" w14:textId="77777777" w:rsidR="00EB3342" w:rsidRPr="008B62D7" w:rsidRDefault="00EB3342" w:rsidP="00674C40">
      <w:pPr>
        <w:spacing w:after="0" w:line="240" w:lineRule="auto"/>
        <w:rPr>
          <w:rFonts w:ascii="Times New Roman" w:hAnsi="Times New Roman"/>
          <w:sz w:val="24"/>
          <w:szCs w:val="24"/>
        </w:rPr>
      </w:pPr>
    </w:p>
    <w:p w14:paraId="5D1625FD" w14:textId="77777777" w:rsidR="00AB3B89" w:rsidRPr="008B62D7" w:rsidRDefault="00AB3B89" w:rsidP="000D7FCF">
      <w:pPr>
        <w:spacing w:after="0" w:line="240" w:lineRule="auto"/>
        <w:ind w:firstLine="567"/>
        <w:jc w:val="both"/>
        <w:rPr>
          <w:rFonts w:ascii="Times New Roman" w:hAnsi="Times New Roman"/>
          <w:sz w:val="24"/>
          <w:szCs w:val="24"/>
        </w:rPr>
      </w:pPr>
      <w:r w:rsidRPr="008B62D7">
        <w:rPr>
          <w:rFonts w:ascii="Times New Roman" w:hAnsi="Times New Roman"/>
          <w:bCs/>
          <w:sz w:val="24"/>
          <w:szCs w:val="24"/>
        </w:rPr>
        <w:t xml:space="preserve">Viešųjų pirkimų tarnyba (toliau – Tarnyba), vadovaudamasi Lietuvos Respublikos viešųjų pirkimų įstatymo </w:t>
      </w:r>
      <w:r w:rsidR="007B1ED4" w:rsidRPr="008B62D7">
        <w:rPr>
          <w:rFonts w:ascii="Times New Roman" w:hAnsi="Times New Roman"/>
          <w:bCs/>
          <w:sz w:val="24"/>
          <w:szCs w:val="24"/>
        </w:rPr>
        <w:t>95</w:t>
      </w:r>
      <w:r w:rsidRPr="008B62D7">
        <w:rPr>
          <w:rFonts w:ascii="Times New Roman" w:hAnsi="Times New Roman"/>
          <w:bCs/>
          <w:sz w:val="24"/>
          <w:szCs w:val="24"/>
        </w:rPr>
        <w:t xml:space="preserve"> straipsnio 1 dalies 2 punktu, įvertino </w:t>
      </w:r>
      <w:r w:rsidR="007B1ED4" w:rsidRPr="008B62D7">
        <w:rPr>
          <w:rFonts w:ascii="Times New Roman" w:hAnsi="Times New Roman"/>
          <w:bCs/>
          <w:sz w:val="24"/>
          <w:szCs w:val="24"/>
        </w:rPr>
        <w:t xml:space="preserve">Raseinių rajono savivaldybės administracijos </w:t>
      </w:r>
      <w:r w:rsidRPr="008B62D7">
        <w:rPr>
          <w:rFonts w:ascii="Times New Roman" w:hAnsi="Times New Roman"/>
          <w:bCs/>
          <w:sz w:val="24"/>
          <w:szCs w:val="24"/>
        </w:rPr>
        <w:t xml:space="preserve">(toliau –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Pr="008B62D7">
        <w:rPr>
          <w:rFonts w:ascii="Times New Roman" w:hAnsi="Times New Roman"/>
          <w:bCs/>
          <w:sz w:val="24"/>
          <w:szCs w:val="24"/>
        </w:rPr>
        <w:t>organizacija) pateiktus dokumentus, susijusius su vykd</w:t>
      </w:r>
      <w:r w:rsidR="007B0835" w:rsidRPr="008B62D7">
        <w:rPr>
          <w:rFonts w:ascii="Times New Roman" w:hAnsi="Times New Roman"/>
          <w:bCs/>
          <w:sz w:val="24"/>
          <w:szCs w:val="24"/>
        </w:rPr>
        <w:t>omu</w:t>
      </w:r>
      <w:r w:rsidRPr="008B62D7">
        <w:rPr>
          <w:rFonts w:ascii="Times New Roman" w:hAnsi="Times New Roman"/>
          <w:bCs/>
          <w:sz w:val="24"/>
          <w:szCs w:val="24"/>
        </w:rPr>
        <w:t xml:space="preserve"> viešuoju pirkimu.</w:t>
      </w:r>
    </w:p>
    <w:p w14:paraId="35BC3114" w14:textId="77777777" w:rsidR="00AB3B89" w:rsidRPr="008B62D7" w:rsidRDefault="00AB3B89" w:rsidP="00674C40">
      <w:pPr>
        <w:spacing w:after="0" w:line="240" w:lineRule="auto"/>
        <w:rPr>
          <w:rFonts w:ascii="Times New Roman" w:hAnsi="Times New Roman"/>
          <w:sz w:val="24"/>
          <w:szCs w:val="24"/>
        </w:rPr>
      </w:pPr>
    </w:p>
    <w:p w14:paraId="0FB3A1C3" w14:textId="77777777" w:rsidR="00AB1809" w:rsidRPr="008B62D7" w:rsidRDefault="00AB1809" w:rsidP="00674C40">
      <w:pPr>
        <w:spacing w:after="0" w:line="240" w:lineRule="auto"/>
        <w:jc w:val="center"/>
        <w:rPr>
          <w:rFonts w:ascii="Times New Roman" w:hAnsi="Times New Roman"/>
          <w:b/>
          <w:sz w:val="24"/>
          <w:szCs w:val="24"/>
        </w:rPr>
      </w:pPr>
      <w:r w:rsidRPr="008B62D7">
        <w:rPr>
          <w:rFonts w:ascii="Times New Roman" w:hAnsi="Times New Roman"/>
          <w:b/>
          <w:sz w:val="24"/>
          <w:szCs w:val="24"/>
        </w:rPr>
        <w:t>I dalis.</w:t>
      </w:r>
      <w:r w:rsidR="007E4301" w:rsidRPr="008B62D7">
        <w:rPr>
          <w:rFonts w:ascii="Times New Roman" w:hAnsi="Times New Roman"/>
          <w:b/>
          <w:sz w:val="24"/>
          <w:szCs w:val="24"/>
        </w:rPr>
        <w:t xml:space="preserve"> Bendra informacija</w:t>
      </w:r>
    </w:p>
    <w:p w14:paraId="795172FA" w14:textId="77777777" w:rsidR="00674C40" w:rsidRPr="008B62D7" w:rsidRDefault="00674C40" w:rsidP="00674C40">
      <w:pPr>
        <w:spacing w:after="0" w:line="240" w:lineRule="auto"/>
        <w:ind w:firstLine="708"/>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AB1809" w:rsidRPr="008B62D7" w14:paraId="1245DC36" w14:textId="77777777" w:rsidTr="00674C40">
        <w:tc>
          <w:tcPr>
            <w:tcW w:w="4672" w:type="dxa"/>
            <w:shd w:val="clear" w:color="auto" w:fill="auto"/>
            <w:vAlign w:val="center"/>
          </w:tcPr>
          <w:p w14:paraId="44B4E96A" w14:textId="77777777" w:rsidR="00AB1809" w:rsidRPr="008B62D7" w:rsidRDefault="00AB1809" w:rsidP="00C20E90">
            <w:pPr>
              <w:spacing w:after="0" w:line="240" w:lineRule="auto"/>
              <w:rPr>
                <w:rFonts w:ascii="Times New Roman" w:hAnsi="Times New Roman"/>
                <w:sz w:val="24"/>
                <w:szCs w:val="24"/>
              </w:rPr>
            </w:pPr>
            <w:r w:rsidRPr="008B62D7">
              <w:rPr>
                <w:rFonts w:ascii="Times New Roman" w:hAnsi="Times New Roman"/>
                <w:sz w:val="24"/>
                <w:szCs w:val="24"/>
              </w:rPr>
              <w:t xml:space="preserve">Pirkimo </w:t>
            </w:r>
            <w:r w:rsidR="007E4301" w:rsidRPr="008B62D7">
              <w:rPr>
                <w:rFonts w:ascii="Times New Roman" w:hAnsi="Times New Roman"/>
                <w:sz w:val="24"/>
                <w:szCs w:val="24"/>
              </w:rPr>
              <w:t xml:space="preserve">pavadinimas, </w:t>
            </w:r>
            <w:r w:rsidRPr="008B62D7">
              <w:rPr>
                <w:rFonts w:ascii="Times New Roman" w:hAnsi="Times New Roman"/>
                <w:sz w:val="24"/>
                <w:szCs w:val="24"/>
              </w:rPr>
              <w:t>numeris (jeigu skelbtas)</w:t>
            </w:r>
            <w:r w:rsidR="007E4301" w:rsidRPr="008B62D7">
              <w:rPr>
                <w:rFonts w:ascii="Times New Roman" w:hAnsi="Times New Roman"/>
                <w:sz w:val="24"/>
                <w:szCs w:val="24"/>
              </w:rPr>
              <w:t>,</w:t>
            </w:r>
            <w:r w:rsidRPr="008B62D7">
              <w:rPr>
                <w:rFonts w:ascii="Times New Roman" w:hAnsi="Times New Roman"/>
                <w:sz w:val="24"/>
                <w:szCs w:val="24"/>
              </w:rPr>
              <w:t xml:space="preserve"> pirkimo paskelbimo (kvietimo pateikti pasiūlymą) data</w:t>
            </w:r>
          </w:p>
        </w:tc>
        <w:tc>
          <w:tcPr>
            <w:tcW w:w="4934" w:type="dxa"/>
            <w:shd w:val="clear" w:color="auto" w:fill="auto"/>
            <w:vAlign w:val="center"/>
          </w:tcPr>
          <w:p w14:paraId="6B6B6671" w14:textId="77777777" w:rsidR="00AB1809" w:rsidRPr="008B62D7" w:rsidRDefault="007B1ED4" w:rsidP="007B1ED4">
            <w:pPr>
              <w:spacing w:after="0" w:line="240" w:lineRule="auto"/>
              <w:rPr>
                <w:rFonts w:ascii="Times New Roman" w:hAnsi="Times New Roman"/>
                <w:sz w:val="24"/>
                <w:szCs w:val="24"/>
              </w:rPr>
            </w:pPr>
            <w:r w:rsidRPr="008B62D7">
              <w:rPr>
                <w:rFonts w:ascii="Times New Roman" w:hAnsi="Times New Roman"/>
                <w:bCs/>
                <w:iCs/>
                <w:sz w:val="24"/>
                <w:szCs w:val="24"/>
              </w:rPr>
              <w:t>Raseinių miesto Vilniaus gatvės rekonstravimo darbų pirkimas</w:t>
            </w:r>
            <w:r w:rsidR="00C21AEB" w:rsidRPr="008B62D7">
              <w:rPr>
                <w:rFonts w:ascii="Times New Roman" w:hAnsi="Times New Roman"/>
                <w:bCs/>
                <w:i/>
                <w:iCs/>
                <w:sz w:val="24"/>
                <w:szCs w:val="24"/>
              </w:rPr>
              <w:t xml:space="preserve"> </w:t>
            </w:r>
            <w:r w:rsidR="00674C40" w:rsidRPr="008B62D7">
              <w:rPr>
                <w:rFonts w:ascii="Times New Roman" w:hAnsi="Times New Roman"/>
                <w:bCs/>
                <w:sz w:val="24"/>
                <w:szCs w:val="24"/>
              </w:rPr>
              <w:t xml:space="preserve">(Centrinėje viešųjų pirkimų informacinėje sistemoje </w:t>
            </w:r>
            <w:r w:rsidR="007B0835" w:rsidRPr="008B62D7">
              <w:rPr>
                <w:rFonts w:ascii="Times New Roman" w:hAnsi="Times New Roman"/>
                <w:bCs/>
                <w:sz w:val="24"/>
                <w:szCs w:val="24"/>
              </w:rPr>
              <w:t xml:space="preserve">(toliau – CVP IS) </w:t>
            </w:r>
            <w:r w:rsidR="00674C40" w:rsidRPr="008B62D7">
              <w:rPr>
                <w:rFonts w:ascii="Times New Roman" w:hAnsi="Times New Roman"/>
                <w:bCs/>
                <w:sz w:val="24"/>
                <w:szCs w:val="24"/>
              </w:rPr>
              <w:t xml:space="preserve">skelbtas </w:t>
            </w:r>
            <w:r w:rsidRPr="008B62D7">
              <w:rPr>
                <w:rFonts w:ascii="Times New Roman" w:hAnsi="Times New Roman"/>
                <w:bCs/>
                <w:sz w:val="24"/>
                <w:szCs w:val="24"/>
              </w:rPr>
              <w:t>2017-03-31</w:t>
            </w:r>
            <w:r w:rsidR="00C21AEB" w:rsidRPr="008B62D7">
              <w:rPr>
                <w:rFonts w:ascii="Times New Roman" w:hAnsi="Times New Roman"/>
                <w:bCs/>
                <w:sz w:val="24"/>
                <w:szCs w:val="24"/>
              </w:rPr>
              <w:t xml:space="preserve">, pirkimo Nr. </w:t>
            </w:r>
            <w:r w:rsidRPr="008B62D7">
              <w:rPr>
                <w:rFonts w:ascii="Times New Roman" w:hAnsi="Times New Roman"/>
                <w:bCs/>
                <w:sz w:val="24"/>
                <w:szCs w:val="24"/>
              </w:rPr>
              <w:t>185315</w:t>
            </w:r>
            <w:r w:rsidR="00C21AEB" w:rsidRPr="008B62D7">
              <w:rPr>
                <w:rFonts w:ascii="Times New Roman" w:hAnsi="Times New Roman"/>
                <w:bCs/>
                <w:sz w:val="24"/>
                <w:szCs w:val="24"/>
              </w:rPr>
              <w:t>;</w:t>
            </w:r>
            <w:r w:rsidR="00674C40" w:rsidRPr="008B62D7">
              <w:rPr>
                <w:rFonts w:ascii="Times New Roman" w:hAnsi="Times New Roman"/>
                <w:bCs/>
                <w:sz w:val="24"/>
                <w:szCs w:val="24"/>
              </w:rPr>
              <w:t xml:space="preserve"> toliau – Pirkimas</w:t>
            </w:r>
          </w:p>
        </w:tc>
      </w:tr>
      <w:tr w:rsidR="00AB1809" w:rsidRPr="008B62D7" w14:paraId="560FA03B" w14:textId="77777777" w:rsidTr="00674C40">
        <w:tc>
          <w:tcPr>
            <w:tcW w:w="4672" w:type="dxa"/>
            <w:shd w:val="clear" w:color="auto" w:fill="auto"/>
            <w:vAlign w:val="center"/>
          </w:tcPr>
          <w:p w14:paraId="1D1DD178" w14:textId="77777777" w:rsidR="00AB1809" w:rsidRPr="008B62D7" w:rsidRDefault="00AB1809" w:rsidP="00C20E90">
            <w:pPr>
              <w:spacing w:after="0" w:line="240" w:lineRule="auto"/>
              <w:rPr>
                <w:rFonts w:ascii="Times New Roman" w:hAnsi="Times New Roman"/>
                <w:sz w:val="24"/>
                <w:szCs w:val="24"/>
              </w:rPr>
            </w:pPr>
            <w:r w:rsidRPr="008B62D7">
              <w:rPr>
                <w:rFonts w:ascii="Times New Roman" w:hAnsi="Times New Roman"/>
                <w:sz w:val="24"/>
                <w:szCs w:val="24"/>
              </w:rPr>
              <w:t>Pirkimo būdas</w:t>
            </w:r>
          </w:p>
        </w:tc>
        <w:tc>
          <w:tcPr>
            <w:tcW w:w="4934" w:type="dxa"/>
            <w:shd w:val="clear" w:color="auto" w:fill="auto"/>
            <w:vAlign w:val="center"/>
          </w:tcPr>
          <w:p w14:paraId="1BF9B7DF" w14:textId="77777777" w:rsidR="00AB1809" w:rsidRPr="008B62D7" w:rsidRDefault="007B1ED4" w:rsidP="00C20E90">
            <w:pPr>
              <w:spacing w:after="0" w:line="240" w:lineRule="auto"/>
              <w:rPr>
                <w:rFonts w:ascii="Times New Roman" w:hAnsi="Times New Roman"/>
                <w:sz w:val="24"/>
                <w:szCs w:val="24"/>
              </w:rPr>
            </w:pPr>
            <w:r w:rsidRPr="008B62D7">
              <w:rPr>
                <w:rFonts w:ascii="Times New Roman" w:hAnsi="Times New Roman"/>
                <w:bCs/>
                <w:sz w:val="24"/>
                <w:szCs w:val="24"/>
              </w:rPr>
              <w:t>Supaprastintas a</w:t>
            </w:r>
            <w:r w:rsidR="00674C40" w:rsidRPr="008B62D7">
              <w:rPr>
                <w:rFonts w:ascii="Times New Roman" w:hAnsi="Times New Roman"/>
                <w:bCs/>
                <w:sz w:val="24"/>
                <w:szCs w:val="24"/>
              </w:rPr>
              <w:t>tviras konkursas</w:t>
            </w:r>
          </w:p>
        </w:tc>
      </w:tr>
      <w:tr w:rsidR="00AB1809" w:rsidRPr="008B62D7" w14:paraId="3B40154B" w14:textId="77777777" w:rsidTr="00674C40">
        <w:tc>
          <w:tcPr>
            <w:tcW w:w="4672" w:type="dxa"/>
            <w:shd w:val="clear" w:color="auto" w:fill="auto"/>
            <w:vAlign w:val="center"/>
          </w:tcPr>
          <w:p w14:paraId="3082D672" w14:textId="77777777" w:rsidR="00AB1809" w:rsidRPr="008B62D7" w:rsidRDefault="00AB1809" w:rsidP="00C20E90">
            <w:pPr>
              <w:spacing w:after="0" w:line="240" w:lineRule="auto"/>
              <w:rPr>
                <w:rFonts w:ascii="Times New Roman" w:hAnsi="Times New Roman"/>
                <w:sz w:val="24"/>
                <w:szCs w:val="24"/>
              </w:rPr>
            </w:pPr>
            <w:r w:rsidRPr="008B62D7">
              <w:rPr>
                <w:rFonts w:ascii="Times New Roman" w:hAnsi="Times New Roman"/>
                <w:sz w:val="24"/>
                <w:szCs w:val="24"/>
              </w:rPr>
              <w:t xml:space="preserve">Planuojama </w:t>
            </w:r>
            <w:r w:rsidR="00CD5FFF" w:rsidRPr="008B62D7">
              <w:rPr>
                <w:rFonts w:ascii="Times New Roman" w:hAnsi="Times New Roman"/>
                <w:sz w:val="24"/>
                <w:szCs w:val="24"/>
              </w:rPr>
              <w:t>(nenurodoma, jeigu pirkimas vertinamas iki vokų su pasiūlymais atplėšimo procedūros)</w:t>
            </w:r>
            <w:r w:rsidRPr="008B62D7">
              <w:rPr>
                <w:rFonts w:ascii="Times New Roman" w:hAnsi="Times New Roman"/>
                <w:sz w:val="24"/>
                <w:szCs w:val="24"/>
              </w:rPr>
              <w:t xml:space="preserve"> pirkimo sutarties vertė, su PVM/be PVM</w:t>
            </w:r>
          </w:p>
        </w:tc>
        <w:tc>
          <w:tcPr>
            <w:tcW w:w="4934" w:type="dxa"/>
            <w:shd w:val="clear" w:color="auto" w:fill="auto"/>
            <w:vAlign w:val="center"/>
          </w:tcPr>
          <w:p w14:paraId="2669932E" w14:textId="77777777" w:rsidR="00F26A7D" w:rsidRPr="008B62D7" w:rsidRDefault="00172339" w:rsidP="003C22F5">
            <w:pPr>
              <w:spacing w:after="0" w:line="240" w:lineRule="auto"/>
              <w:rPr>
                <w:rFonts w:ascii="Times New Roman" w:hAnsi="Times New Roman"/>
                <w:sz w:val="24"/>
                <w:szCs w:val="24"/>
              </w:rPr>
            </w:pPr>
            <w:r w:rsidRPr="008B62D7">
              <w:rPr>
                <w:rFonts w:ascii="Times New Roman" w:hAnsi="Times New Roman"/>
                <w:sz w:val="24"/>
                <w:szCs w:val="24"/>
              </w:rPr>
              <w:t>-</w:t>
            </w:r>
          </w:p>
        </w:tc>
      </w:tr>
      <w:tr w:rsidR="00AB1809" w:rsidRPr="008B62D7" w14:paraId="5F4B235A" w14:textId="77777777" w:rsidTr="00674C40">
        <w:tc>
          <w:tcPr>
            <w:tcW w:w="4672" w:type="dxa"/>
            <w:shd w:val="clear" w:color="auto" w:fill="auto"/>
            <w:vAlign w:val="center"/>
          </w:tcPr>
          <w:p w14:paraId="247D9FF6" w14:textId="77777777" w:rsidR="00AB1809" w:rsidRPr="008B62D7" w:rsidRDefault="00AB1809" w:rsidP="00C20E90">
            <w:pPr>
              <w:spacing w:after="0" w:line="240" w:lineRule="auto"/>
              <w:rPr>
                <w:rFonts w:ascii="Times New Roman" w:hAnsi="Times New Roman"/>
                <w:sz w:val="24"/>
                <w:szCs w:val="24"/>
              </w:rPr>
            </w:pPr>
            <w:r w:rsidRPr="008B62D7">
              <w:rPr>
                <w:rFonts w:ascii="Times New Roman" w:hAnsi="Times New Roman"/>
                <w:sz w:val="24"/>
                <w:szCs w:val="24"/>
              </w:rPr>
              <w:t xml:space="preserve">Pirkimas finansuojamas ES lėšomis, projekto pavadinimas, </w:t>
            </w:r>
            <w:r w:rsidR="00BA3D29" w:rsidRPr="008B62D7">
              <w:rPr>
                <w:rFonts w:ascii="Times New Roman" w:hAnsi="Times New Roman"/>
                <w:sz w:val="24"/>
                <w:szCs w:val="24"/>
              </w:rPr>
              <w:t>Įgyvendinančioji institucija</w:t>
            </w:r>
          </w:p>
        </w:tc>
        <w:tc>
          <w:tcPr>
            <w:tcW w:w="4934" w:type="dxa"/>
            <w:shd w:val="clear" w:color="auto" w:fill="auto"/>
            <w:vAlign w:val="center"/>
          </w:tcPr>
          <w:p w14:paraId="026E5F50" w14:textId="77777777" w:rsidR="00AB1809" w:rsidRPr="008B62D7" w:rsidRDefault="00C537B7" w:rsidP="00C537B7">
            <w:pPr>
              <w:spacing w:after="0" w:line="240" w:lineRule="auto"/>
              <w:rPr>
                <w:rFonts w:ascii="Times New Roman" w:hAnsi="Times New Roman"/>
                <w:sz w:val="24"/>
                <w:szCs w:val="24"/>
              </w:rPr>
            </w:pPr>
            <w:r>
              <w:rPr>
                <w:rFonts w:ascii="Times New Roman" w:hAnsi="Times New Roman"/>
                <w:sz w:val="24"/>
                <w:szCs w:val="24"/>
              </w:rPr>
              <w:t xml:space="preserve">Pirkimas dalinai finansuojamas </w:t>
            </w:r>
            <w:r w:rsidR="004302B0" w:rsidRPr="008B62D7">
              <w:rPr>
                <w:rFonts w:ascii="Times New Roman" w:hAnsi="Times New Roman"/>
                <w:sz w:val="24"/>
                <w:szCs w:val="24"/>
              </w:rPr>
              <w:t xml:space="preserve">Europos Sąjungos 2014-2020 m. fondų </w:t>
            </w:r>
            <w:r w:rsidRPr="008B62D7">
              <w:rPr>
                <w:rFonts w:ascii="Times New Roman" w:hAnsi="Times New Roman"/>
                <w:sz w:val="24"/>
                <w:szCs w:val="24"/>
              </w:rPr>
              <w:t>lėšo</w:t>
            </w:r>
            <w:r>
              <w:rPr>
                <w:rFonts w:ascii="Times New Roman" w:hAnsi="Times New Roman"/>
                <w:sz w:val="24"/>
                <w:szCs w:val="24"/>
              </w:rPr>
              <w:t>mis</w:t>
            </w:r>
            <w:r w:rsidRPr="008B62D7">
              <w:rPr>
                <w:rFonts w:ascii="Times New Roman" w:hAnsi="Times New Roman"/>
                <w:sz w:val="24"/>
                <w:szCs w:val="24"/>
              </w:rPr>
              <w:t xml:space="preserve"> </w:t>
            </w:r>
            <w:r w:rsidR="004302B0" w:rsidRPr="008B62D7">
              <w:rPr>
                <w:rFonts w:ascii="Times New Roman" w:hAnsi="Times New Roman"/>
                <w:sz w:val="24"/>
                <w:szCs w:val="24"/>
              </w:rPr>
              <w:t xml:space="preserve">pagal Europos Sąjungos fondų investicijų veiksmų programos </w:t>
            </w:r>
            <w:r w:rsidR="006450EA" w:rsidRPr="008B62D7">
              <w:rPr>
                <w:rFonts w:ascii="Times New Roman" w:hAnsi="Times New Roman"/>
                <w:sz w:val="24"/>
                <w:szCs w:val="24"/>
              </w:rPr>
              <w:t>7</w:t>
            </w:r>
            <w:r w:rsidR="004302B0" w:rsidRPr="008B62D7">
              <w:rPr>
                <w:rFonts w:ascii="Times New Roman" w:hAnsi="Times New Roman"/>
                <w:sz w:val="24"/>
                <w:szCs w:val="24"/>
              </w:rPr>
              <w:t xml:space="preserve"> prioriteto „</w:t>
            </w:r>
            <w:r w:rsidR="006450EA" w:rsidRPr="008B62D7">
              <w:rPr>
                <w:rFonts w:ascii="Times New Roman" w:hAnsi="Times New Roman"/>
                <w:sz w:val="24"/>
                <w:szCs w:val="24"/>
              </w:rPr>
              <w:t>Kokybiško užimtumo ir dalyvavimo darbo rinkoje skatinimas“ 07.1.1-CPVA-R-905</w:t>
            </w:r>
            <w:r w:rsidR="004302B0" w:rsidRPr="008B62D7">
              <w:rPr>
                <w:rFonts w:ascii="Times New Roman" w:hAnsi="Times New Roman"/>
                <w:sz w:val="24"/>
                <w:szCs w:val="24"/>
              </w:rPr>
              <w:t xml:space="preserve"> priemonę „</w:t>
            </w:r>
            <w:r w:rsidR="006450EA" w:rsidRPr="008B62D7">
              <w:rPr>
                <w:rFonts w:ascii="Times New Roman" w:hAnsi="Times New Roman"/>
                <w:sz w:val="24"/>
                <w:szCs w:val="24"/>
              </w:rPr>
              <w:t>Miestų kompleksinė plėtra</w:t>
            </w:r>
            <w:r w:rsidR="004302B0" w:rsidRPr="008B62D7">
              <w:rPr>
                <w:rFonts w:ascii="Times New Roman" w:hAnsi="Times New Roman"/>
                <w:sz w:val="24"/>
                <w:szCs w:val="24"/>
              </w:rPr>
              <w:t xml:space="preserve">“. </w:t>
            </w:r>
            <w:r w:rsidR="00172339" w:rsidRPr="008B62D7">
              <w:rPr>
                <w:rFonts w:ascii="Times New Roman" w:hAnsi="Times New Roman"/>
                <w:sz w:val="24"/>
                <w:szCs w:val="24"/>
              </w:rPr>
              <w:t>VšĮ Centrinė projektų valdymo agentūra</w:t>
            </w:r>
            <w:r w:rsidR="006450EA" w:rsidRPr="008B62D7">
              <w:rPr>
                <w:rFonts w:ascii="Times New Roman" w:hAnsi="Times New Roman"/>
                <w:sz w:val="24"/>
                <w:szCs w:val="24"/>
              </w:rPr>
              <w:t xml:space="preserve"> (toliau – CPVA).</w:t>
            </w:r>
          </w:p>
        </w:tc>
      </w:tr>
      <w:tr w:rsidR="00AB1809" w:rsidRPr="008B62D7" w14:paraId="20B5D9CC" w14:textId="77777777" w:rsidTr="00674C40">
        <w:tc>
          <w:tcPr>
            <w:tcW w:w="4672" w:type="dxa"/>
            <w:shd w:val="clear" w:color="auto" w:fill="auto"/>
            <w:vAlign w:val="center"/>
          </w:tcPr>
          <w:p w14:paraId="609822BD" w14:textId="77777777" w:rsidR="00AB1809" w:rsidRPr="008B62D7" w:rsidRDefault="00CD5FFF" w:rsidP="00C20E90">
            <w:pPr>
              <w:spacing w:after="0" w:line="240" w:lineRule="auto"/>
              <w:rPr>
                <w:rFonts w:ascii="Times New Roman" w:hAnsi="Times New Roman"/>
                <w:sz w:val="24"/>
                <w:szCs w:val="24"/>
              </w:rPr>
            </w:pPr>
            <w:r w:rsidRPr="008B62D7">
              <w:rPr>
                <w:rFonts w:ascii="Times New Roman" w:hAnsi="Times New Roman"/>
                <w:sz w:val="24"/>
                <w:szCs w:val="24"/>
              </w:rPr>
              <w:t>Pirkimo vykdymo t</w:t>
            </w:r>
            <w:r w:rsidR="00AB1809" w:rsidRPr="008B62D7">
              <w:rPr>
                <w:rFonts w:ascii="Times New Roman" w:hAnsi="Times New Roman"/>
                <w:sz w:val="24"/>
                <w:szCs w:val="24"/>
              </w:rPr>
              <w:t xml:space="preserve">eisinis pagrindas (pirkimui taikomo </w:t>
            </w:r>
            <w:r w:rsidR="00BA3D29" w:rsidRPr="008B62D7">
              <w:rPr>
                <w:rFonts w:ascii="Times New Roman" w:hAnsi="Times New Roman"/>
                <w:sz w:val="24"/>
                <w:szCs w:val="24"/>
              </w:rPr>
              <w:t>įstatymo</w:t>
            </w:r>
            <w:r w:rsidR="00AB1809" w:rsidRPr="008B62D7">
              <w:rPr>
                <w:rFonts w:ascii="Times New Roman" w:hAnsi="Times New Roman"/>
                <w:sz w:val="24"/>
                <w:szCs w:val="24"/>
              </w:rPr>
              <w:t>, supaprastintų pirkimų taisyklių redakcija)</w:t>
            </w:r>
          </w:p>
        </w:tc>
        <w:tc>
          <w:tcPr>
            <w:tcW w:w="4934" w:type="dxa"/>
            <w:shd w:val="clear" w:color="auto" w:fill="auto"/>
            <w:vAlign w:val="center"/>
          </w:tcPr>
          <w:p w14:paraId="4779A4D8" w14:textId="77777777" w:rsidR="00AB1809" w:rsidRPr="008B62D7" w:rsidRDefault="00674C40" w:rsidP="00C06F9A">
            <w:pPr>
              <w:spacing w:after="0" w:line="240" w:lineRule="auto"/>
              <w:rPr>
                <w:rFonts w:ascii="Times New Roman" w:hAnsi="Times New Roman"/>
                <w:sz w:val="24"/>
                <w:szCs w:val="24"/>
              </w:rPr>
            </w:pPr>
            <w:r w:rsidRPr="008B62D7">
              <w:rPr>
                <w:rFonts w:ascii="Times New Roman" w:hAnsi="Times New Roman"/>
                <w:bCs/>
                <w:sz w:val="24"/>
                <w:szCs w:val="24"/>
              </w:rPr>
              <w:t>Lietuvos Respublikos viešųjų pirkimų įstatymo (redakcija nuo 201</w:t>
            </w:r>
            <w:r w:rsidR="006450EA" w:rsidRPr="008B62D7">
              <w:rPr>
                <w:rFonts w:ascii="Times New Roman" w:hAnsi="Times New Roman"/>
                <w:bCs/>
                <w:sz w:val="24"/>
                <w:szCs w:val="24"/>
              </w:rPr>
              <w:t>7</w:t>
            </w:r>
            <w:r w:rsidR="00C21AEB" w:rsidRPr="008B62D7">
              <w:rPr>
                <w:rFonts w:ascii="Times New Roman" w:hAnsi="Times New Roman"/>
                <w:bCs/>
                <w:sz w:val="24"/>
                <w:szCs w:val="24"/>
              </w:rPr>
              <w:t>-01-01</w:t>
            </w:r>
            <w:r w:rsidRPr="008B62D7">
              <w:rPr>
                <w:rFonts w:ascii="Times New Roman" w:hAnsi="Times New Roman"/>
                <w:bCs/>
                <w:sz w:val="24"/>
                <w:szCs w:val="24"/>
              </w:rPr>
              <w:t>) (toliau – Įstatymas)</w:t>
            </w:r>
            <w:r w:rsidR="006450EA" w:rsidRPr="008B62D7">
              <w:rPr>
                <w:rFonts w:ascii="Times New Roman" w:hAnsi="Times New Roman"/>
                <w:bCs/>
                <w:sz w:val="24"/>
                <w:szCs w:val="24"/>
              </w:rPr>
              <w:t xml:space="preserve"> ir </w:t>
            </w:r>
            <w:r w:rsidR="00C06F9A">
              <w:rPr>
                <w:rFonts w:ascii="Times New Roman" w:hAnsi="Times New Roman"/>
                <w:bCs/>
                <w:sz w:val="24"/>
                <w:szCs w:val="24"/>
              </w:rPr>
              <w:t>P</w:t>
            </w:r>
            <w:r w:rsidR="00C06F9A" w:rsidRPr="008B62D7">
              <w:rPr>
                <w:rFonts w:ascii="Times New Roman" w:hAnsi="Times New Roman"/>
                <w:bCs/>
                <w:sz w:val="24"/>
                <w:szCs w:val="24"/>
              </w:rPr>
              <w:t xml:space="preserve">erkančiosios </w:t>
            </w:r>
            <w:r w:rsidR="006450EA" w:rsidRPr="008B62D7">
              <w:rPr>
                <w:rFonts w:ascii="Times New Roman" w:hAnsi="Times New Roman"/>
                <w:bCs/>
                <w:sz w:val="24"/>
                <w:szCs w:val="24"/>
              </w:rPr>
              <w:t>organizacijos direktoriaus 2015-10-15 įsakymu Nr. A</w:t>
            </w:r>
            <w:r w:rsidR="006450EA" w:rsidRPr="008B62D7">
              <w:rPr>
                <w:rFonts w:ascii="Times New Roman" w:hAnsi="Times New Roman"/>
                <w:bCs/>
                <w:sz w:val="24"/>
                <w:szCs w:val="24"/>
                <w:vertAlign w:val="subscript"/>
              </w:rPr>
              <w:t>1</w:t>
            </w:r>
            <w:r w:rsidR="006450EA" w:rsidRPr="008B62D7">
              <w:rPr>
                <w:rFonts w:ascii="Times New Roman" w:hAnsi="Times New Roman"/>
                <w:bCs/>
                <w:sz w:val="24"/>
                <w:szCs w:val="24"/>
              </w:rPr>
              <w:t>-865 patvirtintos Viešųjų supaprastintų pirkimų taisyklių (toliau – Taisyklės)</w:t>
            </w:r>
            <w:r w:rsidRPr="008B62D7">
              <w:rPr>
                <w:rFonts w:ascii="Times New Roman" w:hAnsi="Times New Roman"/>
                <w:bCs/>
                <w:sz w:val="24"/>
                <w:szCs w:val="24"/>
              </w:rPr>
              <w:t xml:space="preserve"> </w:t>
            </w:r>
            <w:r w:rsidR="007B0835" w:rsidRPr="008B62D7">
              <w:rPr>
                <w:rFonts w:ascii="Times New Roman" w:hAnsi="Times New Roman"/>
                <w:bCs/>
                <w:sz w:val="24"/>
                <w:szCs w:val="24"/>
              </w:rPr>
              <w:t>nuostatos</w:t>
            </w:r>
            <w:r w:rsidR="00EB022B" w:rsidRPr="008B62D7">
              <w:rPr>
                <w:rFonts w:ascii="Times New Roman" w:hAnsi="Times New Roman"/>
                <w:bCs/>
                <w:sz w:val="24"/>
                <w:szCs w:val="24"/>
              </w:rPr>
              <w:t>.</w:t>
            </w:r>
          </w:p>
        </w:tc>
      </w:tr>
      <w:tr w:rsidR="00AB1809" w:rsidRPr="008B62D7" w14:paraId="6C1D55B7" w14:textId="77777777" w:rsidTr="00674C40">
        <w:tc>
          <w:tcPr>
            <w:tcW w:w="4672" w:type="dxa"/>
            <w:shd w:val="clear" w:color="auto" w:fill="auto"/>
            <w:vAlign w:val="center"/>
          </w:tcPr>
          <w:p w14:paraId="7B712D17" w14:textId="77777777" w:rsidR="00AB1809" w:rsidRPr="008B62D7" w:rsidRDefault="00AB1809" w:rsidP="00C20E90">
            <w:pPr>
              <w:spacing w:after="0" w:line="240" w:lineRule="auto"/>
              <w:rPr>
                <w:rFonts w:ascii="Times New Roman" w:hAnsi="Times New Roman"/>
                <w:sz w:val="24"/>
                <w:szCs w:val="24"/>
              </w:rPr>
            </w:pPr>
            <w:r w:rsidRPr="008B62D7">
              <w:rPr>
                <w:rFonts w:ascii="Times New Roman" w:hAnsi="Times New Roman"/>
                <w:sz w:val="24"/>
                <w:szCs w:val="24"/>
              </w:rPr>
              <w:t xml:space="preserve">Vertinimo </w:t>
            </w:r>
            <w:r w:rsidR="007E4301" w:rsidRPr="008B62D7">
              <w:rPr>
                <w:rFonts w:ascii="Times New Roman" w:hAnsi="Times New Roman"/>
                <w:sz w:val="24"/>
                <w:szCs w:val="24"/>
              </w:rPr>
              <w:t>apimtys/</w:t>
            </w:r>
            <w:r w:rsidRPr="008B62D7">
              <w:rPr>
                <w:rFonts w:ascii="Times New Roman" w:hAnsi="Times New Roman"/>
                <w:sz w:val="24"/>
                <w:szCs w:val="24"/>
              </w:rPr>
              <w:t>etapas</w:t>
            </w:r>
          </w:p>
        </w:tc>
        <w:tc>
          <w:tcPr>
            <w:tcW w:w="4934" w:type="dxa"/>
            <w:shd w:val="clear" w:color="auto" w:fill="auto"/>
            <w:vAlign w:val="center"/>
          </w:tcPr>
          <w:p w14:paraId="3FDBBE39" w14:textId="77777777" w:rsidR="00AB1809" w:rsidRPr="008B62D7" w:rsidRDefault="00973EA0" w:rsidP="006450EA">
            <w:pPr>
              <w:spacing w:after="0" w:line="240" w:lineRule="auto"/>
              <w:rPr>
                <w:rFonts w:ascii="Times New Roman" w:hAnsi="Times New Roman"/>
                <w:sz w:val="24"/>
                <w:szCs w:val="24"/>
              </w:rPr>
            </w:pPr>
            <w:r w:rsidRPr="008B62D7">
              <w:rPr>
                <w:rFonts w:ascii="Times New Roman" w:hAnsi="Times New Roman"/>
                <w:sz w:val="24"/>
                <w:szCs w:val="24"/>
              </w:rPr>
              <w:t>Išsamus vertinimas / P</w:t>
            </w:r>
            <w:r w:rsidR="00674C40" w:rsidRPr="008B62D7">
              <w:rPr>
                <w:rFonts w:ascii="Times New Roman" w:hAnsi="Times New Roman"/>
                <w:sz w:val="24"/>
                <w:szCs w:val="24"/>
              </w:rPr>
              <w:t xml:space="preserve">irkimo procedūrų vertinimas </w:t>
            </w:r>
            <w:r w:rsidR="006450EA" w:rsidRPr="008B62D7">
              <w:rPr>
                <w:rFonts w:ascii="Times New Roman" w:hAnsi="Times New Roman"/>
                <w:sz w:val="24"/>
                <w:szCs w:val="24"/>
              </w:rPr>
              <w:t>iki</w:t>
            </w:r>
            <w:r w:rsidR="00674C40" w:rsidRPr="008B62D7">
              <w:rPr>
                <w:rFonts w:ascii="Times New Roman" w:hAnsi="Times New Roman"/>
                <w:sz w:val="24"/>
                <w:szCs w:val="24"/>
              </w:rPr>
              <w:t xml:space="preserve"> </w:t>
            </w:r>
            <w:r w:rsidR="007B0835" w:rsidRPr="008B62D7">
              <w:rPr>
                <w:rFonts w:ascii="Times New Roman" w:hAnsi="Times New Roman"/>
                <w:sz w:val="24"/>
                <w:szCs w:val="24"/>
              </w:rPr>
              <w:t>vokų atplėšimo procedūros</w:t>
            </w:r>
          </w:p>
        </w:tc>
      </w:tr>
      <w:tr w:rsidR="00AB1809" w:rsidRPr="008B62D7" w14:paraId="3F0CBE6A" w14:textId="77777777" w:rsidTr="00674C40">
        <w:tc>
          <w:tcPr>
            <w:tcW w:w="4672" w:type="dxa"/>
            <w:shd w:val="clear" w:color="auto" w:fill="auto"/>
            <w:vAlign w:val="center"/>
          </w:tcPr>
          <w:p w14:paraId="3C6E327C" w14:textId="77777777" w:rsidR="00AB1809" w:rsidRPr="008B62D7" w:rsidRDefault="00AB1809" w:rsidP="00C20E90">
            <w:pPr>
              <w:spacing w:after="0" w:line="240" w:lineRule="auto"/>
              <w:rPr>
                <w:rFonts w:ascii="Times New Roman" w:hAnsi="Times New Roman"/>
                <w:sz w:val="24"/>
                <w:szCs w:val="24"/>
              </w:rPr>
            </w:pPr>
            <w:r w:rsidRPr="008B62D7">
              <w:rPr>
                <w:rFonts w:ascii="Times New Roman" w:hAnsi="Times New Roman"/>
                <w:sz w:val="24"/>
                <w:szCs w:val="24"/>
              </w:rPr>
              <w:t>Dėl pirkimo vyksta teismo procesas (nurodyti ieškinio (skundo) dalykus, bylos šalių pavadinimus, ar taikomos laikinosios apsaugos priemonės, teisminio nagrinėjimo stadija, pvz.</w:t>
            </w:r>
            <w:r w:rsidR="00CD5FFF" w:rsidRPr="008B62D7">
              <w:rPr>
                <w:rFonts w:ascii="Times New Roman" w:hAnsi="Times New Roman"/>
                <w:sz w:val="24"/>
                <w:szCs w:val="24"/>
              </w:rPr>
              <w:t>,</w:t>
            </w:r>
            <w:r w:rsidRPr="008B62D7">
              <w:rPr>
                <w:rFonts w:ascii="Times New Roman" w:hAnsi="Times New Roman"/>
                <w:sz w:val="24"/>
                <w:szCs w:val="24"/>
              </w:rPr>
              <w:t xml:space="preserve"> apygardos, apeliacinis teismas)</w:t>
            </w:r>
          </w:p>
        </w:tc>
        <w:tc>
          <w:tcPr>
            <w:tcW w:w="4934" w:type="dxa"/>
            <w:shd w:val="clear" w:color="auto" w:fill="auto"/>
            <w:vAlign w:val="center"/>
          </w:tcPr>
          <w:p w14:paraId="6A939330" w14:textId="77777777" w:rsidR="00EB755E" w:rsidRPr="008B62D7" w:rsidRDefault="006A3B69" w:rsidP="006C2BB7">
            <w:pPr>
              <w:spacing w:after="0" w:line="240" w:lineRule="auto"/>
              <w:rPr>
                <w:rFonts w:ascii="Times New Roman" w:hAnsi="Times New Roman"/>
                <w:sz w:val="24"/>
                <w:szCs w:val="24"/>
              </w:rPr>
            </w:pPr>
            <w:r w:rsidRPr="008B62D7">
              <w:rPr>
                <w:rFonts w:ascii="Times New Roman" w:hAnsi="Times New Roman"/>
                <w:sz w:val="24"/>
                <w:szCs w:val="24"/>
              </w:rPr>
              <w:t>Tiekėjas UAB „Kauno keliai“ pateik</w:t>
            </w:r>
            <w:r w:rsidR="006E3EBE" w:rsidRPr="008B62D7">
              <w:rPr>
                <w:rFonts w:ascii="Times New Roman" w:hAnsi="Times New Roman"/>
                <w:sz w:val="24"/>
                <w:szCs w:val="24"/>
              </w:rPr>
              <w:t>ė</w:t>
            </w:r>
            <w:r w:rsidRPr="008B62D7">
              <w:rPr>
                <w:rFonts w:ascii="Times New Roman" w:hAnsi="Times New Roman"/>
                <w:sz w:val="24"/>
                <w:szCs w:val="24"/>
              </w:rPr>
              <w:t xml:space="preserve"> ieškinį </w:t>
            </w:r>
            <w:r w:rsidR="006E3EBE" w:rsidRPr="008B62D7">
              <w:rPr>
                <w:rFonts w:ascii="Times New Roman" w:hAnsi="Times New Roman"/>
                <w:sz w:val="24"/>
                <w:szCs w:val="24"/>
              </w:rPr>
              <w:t>Šiaulių</w:t>
            </w:r>
            <w:r w:rsidRPr="008B62D7">
              <w:rPr>
                <w:rFonts w:ascii="Times New Roman" w:hAnsi="Times New Roman"/>
                <w:sz w:val="24"/>
                <w:szCs w:val="24"/>
              </w:rPr>
              <w:t xml:space="preserve"> apygardos teismui (civilinė byla Nr. e2-</w:t>
            </w:r>
            <w:r w:rsidR="00F93659" w:rsidRPr="008B62D7">
              <w:rPr>
                <w:rFonts w:ascii="Times New Roman" w:hAnsi="Times New Roman"/>
                <w:sz w:val="24"/>
                <w:szCs w:val="24"/>
              </w:rPr>
              <w:t>770</w:t>
            </w:r>
            <w:r w:rsidRPr="008B62D7">
              <w:rPr>
                <w:rFonts w:ascii="Times New Roman" w:hAnsi="Times New Roman"/>
                <w:sz w:val="24"/>
                <w:szCs w:val="24"/>
              </w:rPr>
              <w:t>-3</w:t>
            </w:r>
            <w:r w:rsidR="00F93659" w:rsidRPr="008B62D7">
              <w:rPr>
                <w:rFonts w:ascii="Times New Roman" w:hAnsi="Times New Roman"/>
                <w:sz w:val="24"/>
                <w:szCs w:val="24"/>
              </w:rPr>
              <w:t>68</w:t>
            </w:r>
            <w:r w:rsidRPr="008B62D7">
              <w:rPr>
                <w:rFonts w:ascii="Times New Roman" w:hAnsi="Times New Roman"/>
                <w:sz w:val="24"/>
                <w:szCs w:val="24"/>
              </w:rPr>
              <w:t>/20</w:t>
            </w:r>
            <w:r w:rsidR="00F93659" w:rsidRPr="008B62D7">
              <w:rPr>
                <w:rFonts w:ascii="Times New Roman" w:hAnsi="Times New Roman"/>
                <w:sz w:val="24"/>
                <w:szCs w:val="24"/>
              </w:rPr>
              <w:t>17</w:t>
            </w:r>
            <w:r w:rsidRPr="008B62D7">
              <w:rPr>
                <w:rFonts w:ascii="Times New Roman" w:hAnsi="Times New Roman"/>
                <w:sz w:val="24"/>
                <w:szCs w:val="24"/>
              </w:rPr>
              <w:t>), skųsdamas</w:t>
            </w:r>
            <w:r w:rsidR="006E3EBE" w:rsidRPr="008B62D7">
              <w:rPr>
                <w:rFonts w:ascii="Times New Roman" w:hAnsi="Times New Roman"/>
                <w:sz w:val="24"/>
                <w:szCs w:val="24"/>
              </w:rPr>
              <w:t xml:space="preserve"> Pirkimo sąlygų 10.4 ir 10.5 punktuose nustatytus tiekėjų pasiūlymų ekonominio </w:t>
            </w:r>
            <w:r w:rsidR="0003221D">
              <w:rPr>
                <w:rFonts w:ascii="Times New Roman" w:hAnsi="Times New Roman"/>
                <w:sz w:val="24"/>
                <w:szCs w:val="24"/>
              </w:rPr>
              <w:t xml:space="preserve">naudingumo </w:t>
            </w:r>
            <w:r w:rsidR="006E3EBE" w:rsidRPr="008B62D7">
              <w:rPr>
                <w:rFonts w:ascii="Times New Roman" w:hAnsi="Times New Roman"/>
                <w:sz w:val="24"/>
                <w:szCs w:val="24"/>
              </w:rPr>
              <w:t>vertinimo kriterijus ir vertinimo tvarką</w:t>
            </w:r>
            <w:r w:rsidRPr="008B62D7">
              <w:rPr>
                <w:rFonts w:ascii="Times New Roman" w:hAnsi="Times New Roman"/>
                <w:sz w:val="24"/>
                <w:szCs w:val="24"/>
              </w:rPr>
              <w:t xml:space="preserve">. </w:t>
            </w:r>
            <w:r w:rsidR="00EB755E" w:rsidRPr="008B62D7">
              <w:rPr>
                <w:rFonts w:ascii="Times New Roman" w:hAnsi="Times New Roman"/>
                <w:sz w:val="24"/>
                <w:szCs w:val="24"/>
              </w:rPr>
              <w:t xml:space="preserve">Tiekėjas UAB „Brosta“ </w:t>
            </w:r>
            <w:r w:rsidR="00EB755E" w:rsidRPr="008B62D7">
              <w:rPr>
                <w:rFonts w:ascii="Times New Roman" w:hAnsi="Times New Roman"/>
                <w:sz w:val="24"/>
                <w:szCs w:val="24"/>
              </w:rPr>
              <w:lastRenderedPageBreak/>
              <w:t>pateikė ieškinį Šiaulių apygardos teismui (civilinė byla Nr. e2-</w:t>
            </w:r>
            <w:r w:rsidR="00061208" w:rsidRPr="008B62D7">
              <w:rPr>
                <w:rFonts w:ascii="Times New Roman" w:hAnsi="Times New Roman"/>
                <w:sz w:val="24"/>
                <w:szCs w:val="24"/>
              </w:rPr>
              <w:t>774</w:t>
            </w:r>
            <w:r w:rsidR="00EB755E" w:rsidRPr="008B62D7">
              <w:rPr>
                <w:rFonts w:ascii="Times New Roman" w:hAnsi="Times New Roman"/>
                <w:sz w:val="24"/>
                <w:szCs w:val="24"/>
              </w:rPr>
              <w:t>-</w:t>
            </w:r>
            <w:r w:rsidR="00061208" w:rsidRPr="008B62D7">
              <w:rPr>
                <w:rFonts w:ascii="Times New Roman" w:hAnsi="Times New Roman"/>
                <w:sz w:val="24"/>
                <w:szCs w:val="24"/>
              </w:rPr>
              <w:t>856</w:t>
            </w:r>
            <w:r w:rsidR="00EB755E" w:rsidRPr="008B62D7">
              <w:rPr>
                <w:rFonts w:ascii="Times New Roman" w:hAnsi="Times New Roman"/>
                <w:sz w:val="24"/>
                <w:szCs w:val="24"/>
              </w:rPr>
              <w:t>/201</w:t>
            </w:r>
            <w:r w:rsidR="00061208" w:rsidRPr="008B62D7">
              <w:rPr>
                <w:rFonts w:ascii="Times New Roman" w:hAnsi="Times New Roman"/>
                <w:sz w:val="24"/>
                <w:szCs w:val="24"/>
              </w:rPr>
              <w:t>7</w:t>
            </w:r>
            <w:r w:rsidR="00EB755E" w:rsidRPr="008B62D7">
              <w:rPr>
                <w:rFonts w:ascii="Times New Roman" w:hAnsi="Times New Roman"/>
                <w:sz w:val="24"/>
                <w:szCs w:val="24"/>
              </w:rPr>
              <w:t xml:space="preserve">), skųsdamas </w:t>
            </w:r>
            <w:r w:rsidR="00C06F9A">
              <w:rPr>
                <w:rFonts w:ascii="Times New Roman" w:hAnsi="Times New Roman"/>
                <w:sz w:val="24"/>
                <w:szCs w:val="24"/>
              </w:rPr>
              <w:t>P</w:t>
            </w:r>
            <w:r w:rsidR="00C06F9A" w:rsidRPr="008B62D7">
              <w:rPr>
                <w:rFonts w:ascii="Times New Roman" w:hAnsi="Times New Roman"/>
                <w:sz w:val="24"/>
                <w:szCs w:val="24"/>
              </w:rPr>
              <w:t xml:space="preserve">erkančiosios </w:t>
            </w:r>
            <w:r w:rsidR="00EB755E" w:rsidRPr="008B62D7">
              <w:rPr>
                <w:rFonts w:ascii="Times New Roman" w:hAnsi="Times New Roman"/>
                <w:sz w:val="24"/>
                <w:szCs w:val="24"/>
              </w:rPr>
              <w:t>organizacijos sprendimą nenagrinėti tiekėjo pretenzijos</w:t>
            </w:r>
            <w:r w:rsidR="00061208" w:rsidRPr="008B62D7">
              <w:rPr>
                <w:rFonts w:ascii="Times New Roman" w:hAnsi="Times New Roman"/>
                <w:sz w:val="24"/>
                <w:szCs w:val="24"/>
              </w:rPr>
              <w:t xml:space="preserve"> pateikto</w:t>
            </w:r>
            <w:r w:rsidR="00123286">
              <w:rPr>
                <w:rFonts w:ascii="Times New Roman" w:hAnsi="Times New Roman"/>
                <w:sz w:val="24"/>
                <w:szCs w:val="24"/>
              </w:rPr>
              <w:t>s</w:t>
            </w:r>
            <w:r w:rsidR="00061208" w:rsidRPr="008B62D7">
              <w:rPr>
                <w:rFonts w:ascii="Times New Roman" w:hAnsi="Times New Roman"/>
                <w:sz w:val="24"/>
                <w:szCs w:val="24"/>
              </w:rPr>
              <w:t xml:space="preserve"> dėl Pirkimo sąlygose nustatytų tiekėjų pasiūlymų ekonominio </w:t>
            </w:r>
            <w:r w:rsidR="0003221D">
              <w:rPr>
                <w:rFonts w:ascii="Times New Roman" w:hAnsi="Times New Roman"/>
                <w:sz w:val="24"/>
                <w:szCs w:val="24"/>
              </w:rPr>
              <w:t xml:space="preserve">naudingumo </w:t>
            </w:r>
            <w:r w:rsidR="00061208" w:rsidRPr="008B62D7">
              <w:rPr>
                <w:rFonts w:ascii="Times New Roman" w:hAnsi="Times New Roman"/>
                <w:sz w:val="24"/>
                <w:szCs w:val="24"/>
              </w:rPr>
              <w:t>vertinimo kriterijų ir vertinimo tvarkos</w:t>
            </w:r>
            <w:r w:rsidR="00EB755E" w:rsidRPr="008B62D7">
              <w:rPr>
                <w:rFonts w:ascii="Times New Roman" w:hAnsi="Times New Roman"/>
                <w:sz w:val="24"/>
                <w:szCs w:val="24"/>
              </w:rPr>
              <w:t>.</w:t>
            </w:r>
            <w:r w:rsidR="00061208" w:rsidRPr="008B62D7">
              <w:rPr>
                <w:rFonts w:ascii="Times New Roman" w:hAnsi="Times New Roman"/>
                <w:sz w:val="24"/>
                <w:szCs w:val="24"/>
              </w:rPr>
              <w:t xml:space="preserve"> </w:t>
            </w:r>
          </w:p>
          <w:p w14:paraId="3A8297F7" w14:textId="77777777" w:rsidR="006C2BB7" w:rsidRPr="008B62D7" w:rsidRDefault="006C2BB7" w:rsidP="00C06F9A">
            <w:pPr>
              <w:spacing w:after="0" w:line="240" w:lineRule="auto"/>
              <w:rPr>
                <w:rFonts w:ascii="Times New Roman" w:hAnsi="Times New Roman"/>
                <w:sz w:val="24"/>
                <w:szCs w:val="24"/>
              </w:rPr>
            </w:pPr>
            <w:r w:rsidRPr="008B62D7">
              <w:rPr>
                <w:rFonts w:ascii="Times New Roman" w:hAnsi="Times New Roman"/>
                <w:sz w:val="24"/>
                <w:szCs w:val="24"/>
              </w:rPr>
              <w:t xml:space="preserve">Teismas </w:t>
            </w:r>
            <w:r w:rsidR="00C02B26" w:rsidRPr="008B62D7">
              <w:rPr>
                <w:rFonts w:ascii="Times New Roman" w:hAnsi="Times New Roman"/>
                <w:sz w:val="24"/>
                <w:szCs w:val="24"/>
              </w:rPr>
              <w:t xml:space="preserve">civilinę bylą Nr. e2-770-368/2017 pagal ieškovės UAB „Kauno keliai“ ieškinį ir civilinę bylą Nr. e2-774-856/2017 pagal ieškovės UAB „Brosta“ ieškinį </w:t>
            </w:r>
            <w:r w:rsidR="00123286" w:rsidRPr="008B62D7">
              <w:rPr>
                <w:rFonts w:ascii="Times New Roman" w:hAnsi="Times New Roman"/>
                <w:sz w:val="24"/>
                <w:szCs w:val="24"/>
              </w:rPr>
              <w:t xml:space="preserve">2017 m. gegužės 8 d. sprendimu </w:t>
            </w:r>
            <w:r w:rsidR="00C02B26" w:rsidRPr="008B62D7">
              <w:rPr>
                <w:rFonts w:ascii="Times New Roman" w:hAnsi="Times New Roman"/>
                <w:sz w:val="24"/>
                <w:szCs w:val="24"/>
              </w:rPr>
              <w:t>sujungė į vieną bylą, paliekant civilinės bylos Nr. e2-770-368/2017.</w:t>
            </w:r>
            <w:r w:rsidR="00282C29" w:rsidRPr="008B62D7">
              <w:rPr>
                <w:rFonts w:ascii="Times New Roman" w:hAnsi="Times New Roman"/>
                <w:sz w:val="24"/>
                <w:szCs w:val="24"/>
              </w:rPr>
              <w:t xml:space="preserve"> Teismas 2017-06-01 sprendimu patvirtino</w:t>
            </w:r>
            <w:r w:rsidR="00081BA5" w:rsidRPr="008B62D7">
              <w:rPr>
                <w:rFonts w:ascii="Times New Roman" w:hAnsi="Times New Roman"/>
                <w:sz w:val="24"/>
                <w:szCs w:val="24"/>
              </w:rPr>
              <w:t xml:space="preserve"> taikos sutartį tarp UAB „Brosta“ ir </w:t>
            </w:r>
            <w:r w:rsidR="00C06F9A">
              <w:rPr>
                <w:rFonts w:ascii="Times New Roman" w:hAnsi="Times New Roman"/>
                <w:sz w:val="24"/>
                <w:szCs w:val="24"/>
              </w:rPr>
              <w:t>P</w:t>
            </w:r>
            <w:r w:rsidR="00C06F9A" w:rsidRPr="008B62D7">
              <w:rPr>
                <w:rFonts w:ascii="Times New Roman" w:hAnsi="Times New Roman"/>
                <w:sz w:val="24"/>
                <w:szCs w:val="24"/>
              </w:rPr>
              <w:t xml:space="preserve">erkančiosios </w:t>
            </w:r>
            <w:r w:rsidR="00081BA5" w:rsidRPr="008B62D7">
              <w:rPr>
                <w:rFonts w:ascii="Times New Roman" w:hAnsi="Times New Roman"/>
                <w:sz w:val="24"/>
                <w:szCs w:val="24"/>
              </w:rPr>
              <w:t>organizacijos dėl taikaus ginčo sprendimo ir sustabdė civilinės bylos Nr. e2-770-368/2017 dalį pagal ieškovės UAB „Kauno keliai“ ieškinį kol išnyks pagrindas bylos sustabdymui</w:t>
            </w:r>
            <w:r w:rsidR="00043EC6">
              <w:rPr>
                <w:rFonts w:ascii="Times New Roman" w:hAnsi="Times New Roman"/>
                <w:sz w:val="24"/>
                <w:szCs w:val="24"/>
              </w:rPr>
              <w:t xml:space="preserve">, t.y. </w:t>
            </w:r>
            <w:r w:rsidR="0088482E">
              <w:rPr>
                <w:rFonts w:ascii="Times New Roman" w:hAnsi="Times New Roman"/>
                <w:sz w:val="24"/>
                <w:szCs w:val="24"/>
              </w:rPr>
              <w:t>kol Tarnyba įvertins ir pateiks šio Pirkimo išvadą.</w:t>
            </w:r>
          </w:p>
        </w:tc>
      </w:tr>
    </w:tbl>
    <w:p w14:paraId="66F1C09F" w14:textId="77777777" w:rsidR="00325EC5" w:rsidRPr="008B62D7" w:rsidRDefault="00325EC5" w:rsidP="00325EC5">
      <w:pPr>
        <w:spacing w:after="0" w:line="240" w:lineRule="auto"/>
        <w:rPr>
          <w:rFonts w:ascii="Times New Roman" w:hAnsi="Times New Roman"/>
          <w:sz w:val="24"/>
          <w:szCs w:val="24"/>
        </w:rPr>
      </w:pPr>
    </w:p>
    <w:p w14:paraId="637784FA" w14:textId="77777777" w:rsidR="00325EC5" w:rsidRPr="008B62D7" w:rsidRDefault="00325EC5" w:rsidP="00325EC5">
      <w:pPr>
        <w:spacing w:after="0" w:line="240" w:lineRule="auto"/>
        <w:rPr>
          <w:rFonts w:ascii="Times New Roman" w:hAnsi="Times New Roman"/>
          <w:sz w:val="24"/>
          <w:szCs w:val="24"/>
        </w:rPr>
      </w:pPr>
    </w:p>
    <w:p w14:paraId="7B355644" w14:textId="77777777" w:rsidR="00B64236" w:rsidRPr="008B62D7" w:rsidRDefault="00A500B8" w:rsidP="005431A1">
      <w:pPr>
        <w:spacing w:after="0" w:line="240" w:lineRule="auto"/>
        <w:jc w:val="center"/>
        <w:rPr>
          <w:rFonts w:ascii="Times New Roman" w:hAnsi="Times New Roman"/>
          <w:b/>
          <w:sz w:val="24"/>
          <w:szCs w:val="24"/>
        </w:rPr>
      </w:pPr>
      <w:r w:rsidRPr="008B62D7">
        <w:rPr>
          <w:rFonts w:ascii="Times New Roman" w:hAnsi="Times New Roman"/>
          <w:b/>
          <w:sz w:val="24"/>
          <w:szCs w:val="24"/>
        </w:rPr>
        <w:t xml:space="preserve">II dalis. </w:t>
      </w:r>
      <w:r w:rsidR="00C5562E" w:rsidRPr="008B62D7">
        <w:rPr>
          <w:rFonts w:ascii="Times New Roman" w:hAnsi="Times New Roman"/>
          <w:b/>
          <w:sz w:val="24"/>
          <w:szCs w:val="24"/>
        </w:rPr>
        <w:t>Vertinimo metu nustatyti pažeidimai</w:t>
      </w:r>
    </w:p>
    <w:p w14:paraId="483B5AAD" w14:textId="77777777" w:rsidR="008F4663" w:rsidRPr="008B62D7" w:rsidRDefault="008F4663" w:rsidP="005431A1">
      <w:pPr>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E04AED" w:rsidRPr="008B62D7" w14:paraId="6AFD7946" w14:textId="77777777" w:rsidTr="000A43BE">
        <w:tc>
          <w:tcPr>
            <w:tcW w:w="675" w:type="dxa"/>
            <w:shd w:val="clear" w:color="auto" w:fill="auto"/>
            <w:vAlign w:val="center"/>
          </w:tcPr>
          <w:p w14:paraId="28126EF3" w14:textId="77777777" w:rsidR="00E04AED" w:rsidRPr="008B62D7" w:rsidRDefault="00E04AED"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shd w:val="clear" w:color="auto" w:fill="auto"/>
          </w:tcPr>
          <w:p w14:paraId="66371A6B" w14:textId="77777777" w:rsidR="00E04AED" w:rsidRPr="008B62D7" w:rsidRDefault="00E04AED" w:rsidP="008B62D7">
            <w:pPr>
              <w:pStyle w:val="ListParagraph"/>
              <w:tabs>
                <w:tab w:val="left" w:pos="0"/>
                <w:tab w:val="left" w:pos="993"/>
                <w:tab w:val="left" w:pos="1276"/>
              </w:tabs>
              <w:spacing w:after="0" w:line="240" w:lineRule="auto"/>
              <w:ind w:left="0"/>
              <w:jc w:val="both"/>
              <w:rPr>
                <w:rFonts w:ascii="Times New Roman" w:hAnsi="Times New Roman"/>
                <w:sz w:val="24"/>
                <w:szCs w:val="24"/>
              </w:rPr>
            </w:pPr>
            <w:r w:rsidRPr="008B62D7">
              <w:rPr>
                <w:rFonts w:ascii="Times New Roman" w:hAnsi="Times New Roman"/>
                <w:bCs/>
                <w:sz w:val="24"/>
                <w:szCs w:val="24"/>
              </w:rPr>
              <w:t>Taisyklių 34.5 punktas</w:t>
            </w:r>
            <w:r w:rsidRPr="008B62D7">
              <w:rPr>
                <w:rStyle w:val="FootnoteReference"/>
                <w:rFonts w:ascii="Times New Roman" w:hAnsi="Times New Roman"/>
                <w:bCs/>
                <w:sz w:val="24"/>
                <w:szCs w:val="24"/>
              </w:rPr>
              <w:footnoteReference w:id="1"/>
            </w:r>
            <w:r w:rsidRPr="008B62D7">
              <w:rPr>
                <w:rFonts w:ascii="Times New Roman" w:hAnsi="Times New Roman"/>
                <w:bCs/>
                <w:sz w:val="24"/>
                <w:szCs w:val="24"/>
              </w:rPr>
              <w:t>, Įstatymo 85 straipsnio 2 dalis</w:t>
            </w:r>
            <w:r w:rsidRPr="008B62D7">
              <w:rPr>
                <w:rStyle w:val="FootnoteReference"/>
                <w:rFonts w:ascii="Times New Roman" w:hAnsi="Times New Roman"/>
                <w:bCs/>
                <w:sz w:val="24"/>
                <w:szCs w:val="24"/>
              </w:rPr>
              <w:footnoteReference w:id="2"/>
            </w:r>
          </w:p>
        </w:tc>
      </w:tr>
      <w:tr w:rsidR="00E04AED" w:rsidRPr="008B62D7" w14:paraId="1F0CCB9A" w14:textId="77777777" w:rsidTr="000A43BE">
        <w:tc>
          <w:tcPr>
            <w:tcW w:w="9747" w:type="dxa"/>
            <w:gridSpan w:val="2"/>
            <w:shd w:val="clear" w:color="auto" w:fill="auto"/>
            <w:vAlign w:val="center"/>
          </w:tcPr>
          <w:p w14:paraId="19225CAE" w14:textId="77777777" w:rsidR="00E04AED" w:rsidRPr="008B62D7" w:rsidRDefault="00E04AED" w:rsidP="008B62D7">
            <w:pPr>
              <w:pStyle w:val="ListParagraph"/>
              <w:tabs>
                <w:tab w:val="left" w:pos="567"/>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 xml:space="preserve">Pirkimą vykdo </w:t>
            </w:r>
            <w:r w:rsidR="00C06F9A">
              <w:rPr>
                <w:rFonts w:ascii="Times New Roman" w:hAnsi="Times New Roman"/>
                <w:bCs/>
                <w:sz w:val="24"/>
                <w:szCs w:val="24"/>
              </w:rPr>
              <w:t>P</w:t>
            </w:r>
            <w:r w:rsidRPr="008B62D7">
              <w:rPr>
                <w:rFonts w:ascii="Times New Roman" w:hAnsi="Times New Roman"/>
                <w:bCs/>
                <w:sz w:val="24"/>
                <w:szCs w:val="24"/>
              </w:rPr>
              <w:t>erkančiosios organizacijos direktoriaus 2016-12-19 įsakymu Nr. A</w:t>
            </w:r>
            <w:r w:rsidRPr="008B62D7">
              <w:rPr>
                <w:rFonts w:ascii="Times New Roman" w:hAnsi="Times New Roman"/>
                <w:bCs/>
                <w:sz w:val="24"/>
                <w:szCs w:val="24"/>
                <w:vertAlign w:val="subscript"/>
              </w:rPr>
              <w:t>1</w:t>
            </w:r>
            <w:r w:rsidRPr="008B62D7">
              <w:rPr>
                <w:rFonts w:ascii="Times New Roman" w:hAnsi="Times New Roman"/>
                <w:bCs/>
                <w:sz w:val="24"/>
                <w:szCs w:val="24"/>
              </w:rPr>
              <w:t>-1253 (su pakeitimu – 2017-05-15 įsakymas Nr. A</w:t>
            </w:r>
            <w:r w:rsidRPr="008B62D7">
              <w:rPr>
                <w:rFonts w:ascii="Times New Roman" w:hAnsi="Times New Roman"/>
                <w:bCs/>
                <w:sz w:val="24"/>
                <w:szCs w:val="24"/>
                <w:vertAlign w:val="subscript"/>
              </w:rPr>
              <w:t>1</w:t>
            </w:r>
            <w:r w:rsidRPr="008B62D7">
              <w:rPr>
                <w:rFonts w:ascii="Times New Roman" w:hAnsi="Times New Roman"/>
                <w:bCs/>
                <w:sz w:val="24"/>
                <w:szCs w:val="24"/>
              </w:rPr>
              <w:t xml:space="preserve">-500) sudaryta viešųjų pirkimų komisija (toliau – Komisija). Komisijos darbo reglamentas patvirtintas </w:t>
            </w:r>
            <w:r w:rsidR="00C06F9A">
              <w:rPr>
                <w:rFonts w:ascii="Times New Roman" w:hAnsi="Times New Roman"/>
                <w:bCs/>
                <w:sz w:val="24"/>
                <w:szCs w:val="24"/>
              </w:rPr>
              <w:t>P</w:t>
            </w:r>
            <w:r w:rsidR="00C06F9A" w:rsidRPr="008B62D7">
              <w:rPr>
                <w:rFonts w:ascii="Times New Roman" w:hAnsi="Times New Roman"/>
                <w:bCs/>
                <w:sz w:val="24"/>
                <w:szCs w:val="24"/>
              </w:rPr>
              <w:t xml:space="preserve">erkančiosios </w:t>
            </w:r>
            <w:r w:rsidRPr="008B62D7">
              <w:rPr>
                <w:rFonts w:ascii="Times New Roman" w:hAnsi="Times New Roman"/>
                <w:bCs/>
                <w:sz w:val="24"/>
                <w:szCs w:val="24"/>
              </w:rPr>
              <w:t>organizacijos direktoriaus 2015-10-15 įsakymu Nr. A</w:t>
            </w:r>
            <w:r w:rsidRPr="008B62D7">
              <w:rPr>
                <w:rFonts w:ascii="Times New Roman" w:hAnsi="Times New Roman"/>
                <w:bCs/>
                <w:sz w:val="24"/>
                <w:szCs w:val="24"/>
                <w:vertAlign w:val="subscript"/>
              </w:rPr>
              <w:t>1</w:t>
            </w:r>
            <w:r w:rsidRPr="008B62D7">
              <w:rPr>
                <w:rFonts w:ascii="Times New Roman" w:hAnsi="Times New Roman"/>
                <w:bCs/>
                <w:sz w:val="24"/>
                <w:szCs w:val="24"/>
              </w:rPr>
              <w:t xml:space="preserve">-867. </w:t>
            </w:r>
          </w:p>
          <w:p w14:paraId="564A4891" w14:textId="77777777" w:rsidR="00E04AED" w:rsidRPr="008B62D7" w:rsidRDefault="00E04AED" w:rsidP="008B62D7">
            <w:pPr>
              <w:pStyle w:val="ListParagraph"/>
              <w:tabs>
                <w:tab w:val="left" w:pos="567"/>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Pirkimo sąlygos patvirtintos Komisijos 2017-03-27 posėdžio metu (protokolas Nr. 10).</w:t>
            </w:r>
          </w:p>
          <w:p w14:paraId="7ACEB5D8" w14:textId="77777777" w:rsidR="00E04AED" w:rsidRPr="008B62D7" w:rsidRDefault="00435670" w:rsidP="008B62D7">
            <w:pPr>
              <w:pStyle w:val="ListParagraph"/>
              <w:tabs>
                <w:tab w:val="left" w:pos="0"/>
                <w:tab w:val="left" w:pos="993"/>
                <w:tab w:val="left" w:pos="1276"/>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 xml:space="preserve">1. </w:t>
            </w:r>
            <w:r w:rsidR="00E04AED" w:rsidRPr="008B62D7">
              <w:rPr>
                <w:rFonts w:ascii="Times New Roman" w:hAnsi="Times New Roman"/>
                <w:bCs/>
                <w:sz w:val="24"/>
                <w:szCs w:val="24"/>
              </w:rPr>
              <w:t xml:space="preserve">Pirkimo sąlygų 2.1.3 punkto esančios lentelės 7 eilutės 3 stulpelyje nurodyta, kad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00E04AED" w:rsidRPr="008B62D7">
              <w:rPr>
                <w:rFonts w:ascii="Times New Roman" w:hAnsi="Times New Roman"/>
                <w:bCs/>
                <w:sz w:val="24"/>
                <w:szCs w:val="24"/>
              </w:rPr>
              <w:t xml:space="preserve">organizacija numato įrengti </w:t>
            </w:r>
            <w:r w:rsidR="00E04AED" w:rsidRPr="008B62D7">
              <w:rPr>
                <w:rFonts w:ascii="Times New Roman" w:hAnsi="Times New Roman"/>
                <w:b/>
                <w:bCs/>
                <w:sz w:val="24"/>
                <w:szCs w:val="24"/>
              </w:rPr>
              <w:t>19534 m</w:t>
            </w:r>
            <w:r w:rsidR="00E04AED" w:rsidRPr="008B62D7">
              <w:rPr>
                <w:rFonts w:ascii="Times New Roman" w:hAnsi="Times New Roman"/>
                <w:b/>
                <w:bCs/>
                <w:sz w:val="24"/>
                <w:szCs w:val="24"/>
                <w:vertAlign w:val="superscript"/>
              </w:rPr>
              <w:t>2</w:t>
            </w:r>
            <w:r w:rsidR="00E04AED" w:rsidRPr="008B62D7">
              <w:rPr>
                <w:rFonts w:ascii="Times New Roman" w:hAnsi="Times New Roman"/>
                <w:bCs/>
                <w:sz w:val="24"/>
                <w:szCs w:val="24"/>
              </w:rPr>
              <w:t xml:space="preserve"> dviračių ir pėsčiųjų takų</w:t>
            </w:r>
            <w:r w:rsidR="00123286">
              <w:rPr>
                <w:rFonts w:ascii="Times New Roman" w:hAnsi="Times New Roman"/>
                <w:bCs/>
                <w:sz w:val="24"/>
                <w:szCs w:val="24"/>
              </w:rPr>
              <w:t>. T</w:t>
            </w:r>
            <w:r w:rsidR="00E04AED" w:rsidRPr="008B62D7">
              <w:rPr>
                <w:rFonts w:ascii="Times New Roman" w:hAnsi="Times New Roman"/>
                <w:bCs/>
                <w:sz w:val="24"/>
                <w:szCs w:val="24"/>
              </w:rPr>
              <w:t xml:space="preserve">ai prieštarauja Skelbimo apie Pirkimą II.2.1 punkto 5 papunktyje nurodytai informacijai, kad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00E04AED" w:rsidRPr="008B62D7">
              <w:rPr>
                <w:rFonts w:ascii="Times New Roman" w:hAnsi="Times New Roman"/>
                <w:bCs/>
                <w:sz w:val="24"/>
                <w:szCs w:val="24"/>
              </w:rPr>
              <w:t xml:space="preserve">organizacija numato įrengti </w:t>
            </w:r>
            <w:r w:rsidR="00E04AED" w:rsidRPr="008B62D7">
              <w:rPr>
                <w:rFonts w:ascii="Times New Roman" w:hAnsi="Times New Roman"/>
                <w:b/>
                <w:bCs/>
                <w:sz w:val="24"/>
                <w:szCs w:val="24"/>
              </w:rPr>
              <w:t xml:space="preserve">19534 m </w:t>
            </w:r>
            <w:r w:rsidR="00E04AED" w:rsidRPr="008B62D7">
              <w:rPr>
                <w:rFonts w:ascii="Times New Roman" w:hAnsi="Times New Roman"/>
                <w:bCs/>
                <w:sz w:val="24"/>
                <w:szCs w:val="24"/>
              </w:rPr>
              <w:t xml:space="preserve">dviračių ir pėsčiųjų takų. Tarnyba pažymi, kad skelbime apie Pirkimą nurodytos informacijos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00E04AED" w:rsidRPr="008B62D7">
              <w:rPr>
                <w:rFonts w:ascii="Times New Roman" w:hAnsi="Times New Roman"/>
                <w:bCs/>
                <w:sz w:val="24"/>
                <w:szCs w:val="24"/>
              </w:rPr>
              <w:t>organizacija tiekėjams papildomai gali neteikti, tačiau jeigu nusprendžia ją nurodyti ir kit</w:t>
            </w:r>
            <w:r w:rsidR="00123286">
              <w:rPr>
                <w:rFonts w:ascii="Times New Roman" w:hAnsi="Times New Roman"/>
                <w:bCs/>
                <w:sz w:val="24"/>
                <w:szCs w:val="24"/>
              </w:rPr>
              <w:t>u</w:t>
            </w:r>
            <w:r w:rsidR="00E04AED" w:rsidRPr="008B62D7">
              <w:rPr>
                <w:rFonts w:ascii="Times New Roman" w:hAnsi="Times New Roman"/>
                <w:bCs/>
                <w:sz w:val="24"/>
                <w:szCs w:val="24"/>
              </w:rPr>
              <w:t>ose šaltiniuose, ji turi būti analogiška ir neprieštarauti viena kitai.</w:t>
            </w:r>
          </w:p>
          <w:p w14:paraId="67231122" w14:textId="77777777" w:rsidR="000C3CF0" w:rsidRPr="008B62D7" w:rsidRDefault="002A79D1" w:rsidP="008B62D7">
            <w:pPr>
              <w:pStyle w:val="ListParagraph"/>
              <w:tabs>
                <w:tab w:val="left" w:pos="0"/>
                <w:tab w:val="left" w:pos="993"/>
                <w:tab w:val="left" w:pos="1276"/>
              </w:tabs>
              <w:spacing w:after="0" w:line="240" w:lineRule="auto"/>
              <w:ind w:left="0" w:firstLine="567"/>
              <w:jc w:val="both"/>
              <w:rPr>
                <w:rFonts w:ascii="Times New Roman" w:hAnsi="Times New Roman"/>
                <w:bCs/>
                <w:sz w:val="24"/>
                <w:szCs w:val="24"/>
              </w:rPr>
            </w:pPr>
            <w:r>
              <w:rPr>
                <w:rFonts w:ascii="Times New Roman" w:hAnsi="Times New Roman"/>
                <w:bCs/>
                <w:sz w:val="24"/>
                <w:szCs w:val="24"/>
              </w:rPr>
              <w:t>2</w:t>
            </w:r>
            <w:r w:rsidR="00A018BD" w:rsidRPr="008B62D7">
              <w:rPr>
                <w:rFonts w:ascii="Times New Roman" w:hAnsi="Times New Roman"/>
                <w:bCs/>
                <w:sz w:val="24"/>
                <w:szCs w:val="24"/>
              </w:rPr>
              <w:t xml:space="preserve">. Pirkimo sąlygų 2.6 </w:t>
            </w:r>
            <w:r w:rsidR="00B92F67" w:rsidRPr="008B62D7">
              <w:rPr>
                <w:rFonts w:ascii="Times New Roman" w:hAnsi="Times New Roman"/>
                <w:bCs/>
                <w:sz w:val="24"/>
                <w:szCs w:val="24"/>
              </w:rPr>
              <w:t>punkte nustatyta, kad „Perkančioji organizacija numato rengti susitikimą su tiekėjais. Susitikimo metu bus surašytas šio susitikimo protokolas, kuriame fiksuojami visi šio susitikimo metu pateikti klausimai dėl pirkimo dokumentų ir atsakymai į juos. Protokolas CVP IS priemonėmis bus pateikiamas visiems pirkimo procedūrose dalyvaujantiems tiekėjams, atsižvelgiant į Konkurso sąlyg</w:t>
            </w:r>
            <w:r w:rsidR="00123286">
              <w:rPr>
                <w:rFonts w:ascii="Times New Roman" w:hAnsi="Times New Roman"/>
                <w:bCs/>
                <w:sz w:val="24"/>
                <w:szCs w:val="24"/>
              </w:rPr>
              <w:t>ose</w:t>
            </w:r>
            <w:r w:rsidR="00B92F67" w:rsidRPr="008B62D7">
              <w:rPr>
                <w:rFonts w:ascii="Times New Roman" w:hAnsi="Times New Roman"/>
                <w:bCs/>
                <w:sz w:val="24"/>
                <w:szCs w:val="24"/>
              </w:rPr>
              <w:t xml:space="preserve"> numatytus terminus &lt;...&gt;“</w:t>
            </w:r>
            <w:r w:rsidR="00424056">
              <w:rPr>
                <w:rFonts w:ascii="Times New Roman" w:hAnsi="Times New Roman"/>
                <w:bCs/>
                <w:sz w:val="24"/>
                <w:szCs w:val="24"/>
              </w:rPr>
              <w:t xml:space="preserve"> bei nurodytas konkretus susitikimo laikas</w:t>
            </w:r>
            <w:r w:rsidR="00B92F67" w:rsidRPr="008B62D7">
              <w:rPr>
                <w:rFonts w:ascii="Times New Roman" w:hAnsi="Times New Roman"/>
                <w:bCs/>
                <w:sz w:val="24"/>
                <w:szCs w:val="24"/>
              </w:rPr>
              <w:t xml:space="preserve">, tačiau Pirkimo sąlygų </w:t>
            </w:r>
            <w:r w:rsidR="00A018BD" w:rsidRPr="008B62D7">
              <w:rPr>
                <w:rFonts w:ascii="Times New Roman" w:hAnsi="Times New Roman"/>
                <w:bCs/>
                <w:sz w:val="24"/>
                <w:szCs w:val="24"/>
              </w:rPr>
              <w:t>7.5 punkt</w:t>
            </w:r>
            <w:r w:rsidR="00B92F67" w:rsidRPr="008B62D7">
              <w:rPr>
                <w:rFonts w:ascii="Times New Roman" w:hAnsi="Times New Roman"/>
                <w:bCs/>
                <w:sz w:val="24"/>
                <w:szCs w:val="24"/>
              </w:rPr>
              <w:t>e nustatyta, kad „Perkančioji organizacija neplanuoja rengti objekto apžiūros ir aiškinamojo susirinkimo“.</w:t>
            </w:r>
          </w:p>
          <w:p w14:paraId="47553452" w14:textId="77777777" w:rsidR="00CC0B34" w:rsidRDefault="002A79D1" w:rsidP="00C7523F">
            <w:pPr>
              <w:pStyle w:val="ListParagraph"/>
              <w:tabs>
                <w:tab w:val="left" w:pos="0"/>
                <w:tab w:val="left" w:pos="993"/>
                <w:tab w:val="left" w:pos="1276"/>
              </w:tabs>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4F3604" w:rsidRPr="008B62D7">
              <w:rPr>
                <w:rFonts w:ascii="Times New Roman" w:hAnsi="Times New Roman"/>
                <w:bCs/>
                <w:sz w:val="24"/>
                <w:szCs w:val="24"/>
              </w:rPr>
              <w:t xml:space="preserve">. </w:t>
            </w:r>
            <w:r w:rsidR="00CC0B34">
              <w:rPr>
                <w:rFonts w:ascii="Times New Roman" w:hAnsi="Times New Roman"/>
                <w:bCs/>
                <w:sz w:val="24"/>
                <w:szCs w:val="24"/>
              </w:rPr>
              <w:t>Atsižvelgiant į tai, kad Perkančioji organizacija atlikusi Pirkimo procedūras numato sudaryti 2 atskiras sutartis, Perkančioji organizacija Skelbime apie Pirkimą nenurodė išsamios informacijos apie Planuojamų sudaryti sutarčių sąlygas, arba Pirkimo dokumentuose nustatytos sąlygos</w:t>
            </w:r>
            <w:r w:rsidR="00364C6F">
              <w:rPr>
                <w:rFonts w:ascii="Times New Roman" w:hAnsi="Times New Roman"/>
                <w:bCs/>
                <w:sz w:val="24"/>
                <w:szCs w:val="24"/>
              </w:rPr>
              <w:t xml:space="preserve"> nesuderintos, prieštarauja Skelbime nurodytai informacijai</w:t>
            </w:r>
            <w:r w:rsidR="00CC0B34">
              <w:rPr>
                <w:rFonts w:ascii="Times New Roman" w:hAnsi="Times New Roman"/>
                <w:bCs/>
                <w:sz w:val="24"/>
                <w:szCs w:val="24"/>
              </w:rPr>
              <w:t>:</w:t>
            </w:r>
          </w:p>
          <w:p w14:paraId="2AC50801" w14:textId="77777777" w:rsidR="00364C6F" w:rsidRDefault="00C7523F" w:rsidP="00FB665A">
            <w:pPr>
              <w:tabs>
                <w:tab w:val="left" w:pos="567"/>
              </w:tabs>
              <w:spacing w:after="0" w:line="240" w:lineRule="auto"/>
              <w:ind w:firstLine="567"/>
              <w:jc w:val="both"/>
              <w:rPr>
                <w:rFonts w:ascii="Times New Roman" w:hAnsi="Times New Roman"/>
                <w:sz w:val="24"/>
                <w:szCs w:val="24"/>
              </w:rPr>
            </w:pPr>
            <w:r>
              <w:rPr>
                <w:rFonts w:ascii="Times New Roman" w:hAnsi="Times New Roman"/>
                <w:bCs/>
                <w:sz w:val="24"/>
                <w:szCs w:val="24"/>
              </w:rPr>
              <w:lastRenderedPageBreak/>
              <w:t>3</w:t>
            </w:r>
            <w:r w:rsidR="00CC0B34">
              <w:rPr>
                <w:rFonts w:ascii="Times New Roman" w:hAnsi="Times New Roman"/>
                <w:bCs/>
                <w:sz w:val="24"/>
                <w:szCs w:val="24"/>
              </w:rPr>
              <w:t xml:space="preserve">.1. </w:t>
            </w:r>
            <w:r w:rsidR="00F45FF6">
              <w:rPr>
                <w:rFonts w:ascii="Times New Roman" w:hAnsi="Times New Roman"/>
                <w:bCs/>
                <w:sz w:val="24"/>
                <w:szCs w:val="24"/>
              </w:rPr>
              <w:t>Skelbimo apie Pirkim</w:t>
            </w:r>
            <w:r w:rsidR="004239B2">
              <w:rPr>
                <w:rFonts w:ascii="Times New Roman" w:hAnsi="Times New Roman"/>
                <w:bCs/>
                <w:sz w:val="24"/>
                <w:szCs w:val="24"/>
              </w:rPr>
              <w:t>ą</w:t>
            </w:r>
            <w:r w:rsidR="00F45FF6">
              <w:rPr>
                <w:rFonts w:ascii="Times New Roman" w:hAnsi="Times New Roman"/>
                <w:bCs/>
                <w:sz w:val="24"/>
                <w:szCs w:val="24"/>
              </w:rPr>
              <w:t xml:space="preserve"> III.1.2 punkte</w:t>
            </w:r>
            <w:r w:rsidR="00364C6F">
              <w:rPr>
                <w:rFonts w:ascii="Times New Roman" w:hAnsi="Times New Roman"/>
                <w:bCs/>
                <w:sz w:val="24"/>
                <w:szCs w:val="24"/>
              </w:rPr>
              <w:t xml:space="preserve"> nustatyta, kad „Šią sutartį numatoma finansuoti iš ES struktūrinių fondų lėšų, naudojant sąskaitų apmokėjimo būdą &lt;...&gt; kuriam reikalingi ilgesni nei 30 d. apmokėjimo terminai. Todėl nustatoma, kad Užsakovas privalo mokėti Rangovui sumą, patvirtintą Rangovo pateiktuose mokėjimo dokumentuose ne vėliau kaip per 60 dienų nuo tinkamų mokėjimo dokumentų gavimo dienos“, tačiau </w:t>
            </w:r>
            <w:r w:rsidR="004D390A" w:rsidRPr="00FB665A">
              <w:rPr>
                <w:rFonts w:ascii="Times New Roman" w:hAnsi="Times New Roman"/>
                <w:bCs/>
                <w:sz w:val="24"/>
                <w:szCs w:val="24"/>
              </w:rPr>
              <w:t>Pirkimo sąlygų 13.6 punkte nustatyta, kad „</w:t>
            </w:r>
            <w:r w:rsidR="004D390A" w:rsidRPr="00FB665A">
              <w:rPr>
                <w:rFonts w:ascii="Times New Roman" w:hAnsi="Times New Roman"/>
                <w:sz w:val="24"/>
                <w:szCs w:val="24"/>
              </w:rPr>
              <w:t xml:space="preserve">Už tinkamai atliktus Darbus Perkančioji organizacija / Direkcija apmokės per 60 (šešiasdešimt) dienų nuo to momento, kai, atitinkamai, Perkančioji organizacija / Direkcija patvirtins Pirkimo sutartyje numatytus ir tiekėjo, laimėjusio Pirkimą, pateiktus mokėjimo dokumentus“, </w:t>
            </w:r>
            <w:r w:rsidR="00364C6F">
              <w:rPr>
                <w:rFonts w:ascii="Times New Roman" w:hAnsi="Times New Roman"/>
                <w:sz w:val="24"/>
                <w:szCs w:val="24"/>
              </w:rPr>
              <w:t xml:space="preserve">o </w:t>
            </w:r>
            <w:r w:rsidR="002129D0">
              <w:rPr>
                <w:rFonts w:ascii="Times New Roman" w:hAnsi="Times New Roman"/>
                <w:sz w:val="24"/>
                <w:szCs w:val="24"/>
              </w:rPr>
              <w:t>Pirkimo sąlygų 8.2 priede „LAKD sutarties projektas“ 13 punkte nustatyta, kad „Už faktiškai atliktus darbus, Užsakovas apmoka per 30 (trisdešimt) kalendorinių dienų nuo dienos, kai Užsakovas priima pažymą apie atliktus darbus ir gauna PVM sąskaitą – faktūrą &lt;...&gt; Tais atvejais kai vėluoja finansavimas iš biudžeto mokėjimai gali būti atidedami, vėlavimo laikotarpiui, bet ne ilgiau kaip per 60 (š</w:t>
            </w:r>
            <w:r w:rsidR="00364C6F">
              <w:rPr>
                <w:rFonts w:ascii="Times New Roman" w:hAnsi="Times New Roman"/>
                <w:sz w:val="24"/>
                <w:szCs w:val="24"/>
              </w:rPr>
              <w:t>e</w:t>
            </w:r>
            <w:r w:rsidR="002129D0">
              <w:rPr>
                <w:rFonts w:ascii="Times New Roman" w:hAnsi="Times New Roman"/>
                <w:sz w:val="24"/>
                <w:szCs w:val="24"/>
              </w:rPr>
              <w:t>šiasdešimt) kalendorinių dienų &lt;...&gt;“</w:t>
            </w:r>
            <w:r w:rsidR="00364C6F">
              <w:rPr>
                <w:rFonts w:ascii="Times New Roman" w:hAnsi="Times New Roman"/>
                <w:sz w:val="24"/>
                <w:szCs w:val="24"/>
              </w:rPr>
              <w:t>;</w:t>
            </w:r>
          </w:p>
          <w:p w14:paraId="63D0DC83" w14:textId="77777777" w:rsidR="00435670" w:rsidRDefault="00C7523F" w:rsidP="00FB665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3</w:t>
            </w:r>
            <w:r w:rsidR="00364C6F">
              <w:rPr>
                <w:rFonts w:ascii="Times New Roman" w:hAnsi="Times New Roman"/>
                <w:sz w:val="24"/>
                <w:szCs w:val="24"/>
              </w:rPr>
              <w:t xml:space="preserve">.2.  </w:t>
            </w:r>
            <w:r w:rsidR="004F013A">
              <w:rPr>
                <w:rFonts w:ascii="Times New Roman" w:hAnsi="Times New Roman"/>
                <w:sz w:val="24"/>
                <w:szCs w:val="24"/>
              </w:rPr>
              <w:t>Skelbimo apie Pirkimą II.3 punkte nustatyta, kad Sutarties trukmė – 16 mė</w:t>
            </w:r>
            <w:r w:rsidR="00714905">
              <w:rPr>
                <w:rFonts w:ascii="Times New Roman" w:hAnsi="Times New Roman"/>
                <w:sz w:val="24"/>
                <w:szCs w:val="24"/>
              </w:rPr>
              <w:t>n</w:t>
            </w:r>
            <w:r w:rsidR="004F013A">
              <w:rPr>
                <w:rFonts w:ascii="Times New Roman" w:hAnsi="Times New Roman"/>
                <w:sz w:val="24"/>
                <w:szCs w:val="24"/>
              </w:rPr>
              <w:t>e</w:t>
            </w:r>
            <w:r w:rsidR="00714905">
              <w:rPr>
                <w:rFonts w:ascii="Times New Roman" w:hAnsi="Times New Roman"/>
                <w:sz w:val="24"/>
                <w:szCs w:val="24"/>
              </w:rPr>
              <w:t>s</w:t>
            </w:r>
            <w:r w:rsidR="004F013A">
              <w:rPr>
                <w:rFonts w:ascii="Times New Roman" w:hAnsi="Times New Roman"/>
                <w:sz w:val="24"/>
                <w:szCs w:val="24"/>
              </w:rPr>
              <w:t>ių</w:t>
            </w:r>
            <w:r w:rsidR="00714905">
              <w:rPr>
                <w:rFonts w:ascii="Times New Roman" w:hAnsi="Times New Roman"/>
                <w:sz w:val="24"/>
                <w:szCs w:val="24"/>
              </w:rPr>
              <w:t xml:space="preserve"> su galimybe sutartį pratęsti 1 kartą 2 mėnesiams, tuo tarpu Pirkimo sąlygų 2.4 punkte ir Pirkimo sąlygų 8.1 priedo 6 punkte nustatyta, kad „Sutartis bus sudaroma 14 mėn. (skaičiuojant nuo jos įsigaliojimo dienos) su galimybe sutartį pratęsti 1 kartą iki 2 mėnesių“, o Pirkimo sąlygų 8.2 priedo 7 punkte nustatyta, kad „Rangovas  darbus &lt;...&gt; baigia per 16 (šešiolika) mėnesių nuo Sutarties įsigaliojimo dienos (bet ne vėliau kaip iki 2018 m. gruodžio 1 d.) &lt;...&gt;“</w:t>
            </w:r>
            <w:r w:rsidR="004239B2">
              <w:rPr>
                <w:rFonts w:ascii="Times New Roman" w:hAnsi="Times New Roman"/>
                <w:sz w:val="24"/>
                <w:szCs w:val="24"/>
              </w:rPr>
              <w:t>;</w:t>
            </w:r>
          </w:p>
          <w:p w14:paraId="5EA878BC" w14:textId="77777777" w:rsidR="004239B2" w:rsidRDefault="00C7523F" w:rsidP="00FB665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3</w:t>
            </w:r>
            <w:r w:rsidR="004239B2">
              <w:rPr>
                <w:rFonts w:ascii="Times New Roman" w:hAnsi="Times New Roman"/>
                <w:sz w:val="24"/>
                <w:szCs w:val="24"/>
              </w:rPr>
              <w:t xml:space="preserve">.3. Pirkimo sąlygų 2.1.2.2 punkte, 2.1.3 </w:t>
            </w:r>
            <w:r w:rsidR="00885655">
              <w:rPr>
                <w:rFonts w:ascii="Times New Roman" w:hAnsi="Times New Roman"/>
                <w:sz w:val="24"/>
                <w:szCs w:val="24"/>
              </w:rPr>
              <w:t xml:space="preserve">punkte </w:t>
            </w:r>
            <w:r w:rsidR="004239B2">
              <w:rPr>
                <w:rFonts w:ascii="Times New Roman" w:hAnsi="Times New Roman"/>
                <w:sz w:val="24"/>
                <w:szCs w:val="24"/>
              </w:rPr>
              <w:t>esančios lentelės 2 stulpelio 4 eilutėje nurodyta, kad Kelio (važiuojamosios dalies) drenažo darbų atlikimą planuojama finansuoti Lietuvos automobilių kelių direkcijos prie Susisiekimo ministerijos lėšomis</w:t>
            </w:r>
            <w:r w:rsidR="00EE416E">
              <w:rPr>
                <w:rFonts w:ascii="Times New Roman" w:hAnsi="Times New Roman"/>
                <w:sz w:val="24"/>
                <w:szCs w:val="24"/>
              </w:rPr>
              <w:t>, tačiau Pirkimo sąlygų 8.1 priedo 1.1 punkte nustatyta, kad „&lt;...&gt; Raseinių miesto Vilniaus gatvės rekonstravimo darbai – Drenažas &lt;...&gt;“, bus finansuojami Perkančiosios organizacijos;</w:t>
            </w:r>
          </w:p>
          <w:p w14:paraId="002CBAC3" w14:textId="77777777" w:rsidR="00FA10A7" w:rsidRDefault="00C7523F" w:rsidP="00C7523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3</w:t>
            </w:r>
            <w:r w:rsidR="00EE416E">
              <w:rPr>
                <w:rFonts w:ascii="Times New Roman" w:hAnsi="Times New Roman"/>
                <w:sz w:val="24"/>
                <w:szCs w:val="24"/>
              </w:rPr>
              <w:t xml:space="preserve">.4. Pirkimo sąlygų </w:t>
            </w:r>
            <w:r w:rsidR="00442F41">
              <w:rPr>
                <w:rFonts w:ascii="Times New Roman" w:hAnsi="Times New Roman"/>
                <w:sz w:val="24"/>
                <w:szCs w:val="24"/>
              </w:rPr>
              <w:t xml:space="preserve">2 priedo „Pasiūlymas Dėl Raseinių miesto Vilniaus gatvės rekonstravimo darbų pirkimo B dalis. Kainos“ nustatyta pasiūlymo formoje nurodyti numatomi įsigyti darbai neatitinka Pirkimo sąlygų 2.1.3 išvardintų planuojamų įsigyti darbų, t. y. į pasiūlymo formą Perkančioji organizacija neįtraukė 2 stulpelio 4 eilutėje nurodyto Kelio (važiuojamosios dalies) drenažo. Todėl nėra aišku kur tiekėjas turėtų nurodyti šių </w:t>
            </w:r>
            <w:r>
              <w:rPr>
                <w:rFonts w:ascii="Times New Roman" w:hAnsi="Times New Roman"/>
                <w:sz w:val="24"/>
                <w:szCs w:val="24"/>
              </w:rPr>
              <w:t>darbų kainą</w:t>
            </w:r>
            <w:r w:rsidR="00FA10A7">
              <w:rPr>
                <w:rFonts w:ascii="Times New Roman" w:hAnsi="Times New Roman"/>
                <w:sz w:val="24"/>
                <w:szCs w:val="24"/>
              </w:rPr>
              <w:t>;</w:t>
            </w:r>
          </w:p>
          <w:p w14:paraId="4F0584FC" w14:textId="77777777" w:rsidR="00887ACA" w:rsidRDefault="00FA10A7" w:rsidP="00887AC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106A50">
              <w:rPr>
                <w:rFonts w:ascii="Times New Roman" w:hAnsi="Times New Roman"/>
                <w:sz w:val="24"/>
                <w:szCs w:val="24"/>
              </w:rPr>
              <w:t>Pirkimo sąlygų 8.1 pried</w:t>
            </w:r>
            <w:r w:rsidR="00887ACA">
              <w:rPr>
                <w:rFonts w:ascii="Times New Roman" w:hAnsi="Times New Roman"/>
                <w:sz w:val="24"/>
                <w:szCs w:val="24"/>
              </w:rPr>
              <w:t>e</w:t>
            </w:r>
            <w:r w:rsidR="00106A50">
              <w:rPr>
                <w:rFonts w:ascii="Times New Roman" w:hAnsi="Times New Roman"/>
                <w:sz w:val="24"/>
                <w:szCs w:val="24"/>
              </w:rPr>
              <w:t xml:space="preserve"> „Statybos darbų rangos sutartis Nr.</w:t>
            </w:r>
            <w:r w:rsidR="00887ACA">
              <w:rPr>
                <w:rFonts w:ascii="Times New Roman" w:hAnsi="Times New Roman"/>
                <w:sz w:val="24"/>
                <w:szCs w:val="24"/>
              </w:rPr>
              <w:t>“ (</w:t>
            </w:r>
            <w:r w:rsidR="00FC262B">
              <w:rPr>
                <w:rFonts w:ascii="Times New Roman" w:hAnsi="Times New Roman"/>
                <w:sz w:val="24"/>
                <w:szCs w:val="24"/>
              </w:rPr>
              <w:t xml:space="preserve">sudaroma su Raseinių rajono savivaldybės administracija, </w:t>
            </w:r>
            <w:r w:rsidR="00887ACA">
              <w:rPr>
                <w:rFonts w:ascii="Times New Roman" w:hAnsi="Times New Roman"/>
                <w:sz w:val="24"/>
                <w:szCs w:val="24"/>
              </w:rPr>
              <w:t xml:space="preserve">toliau – 8.1 priedas) </w:t>
            </w:r>
            <w:r w:rsidR="00766ACB">
              <w:rPr>
                <w:rFonts w:ascii="Times New Roman" w:hAnsi="Times New Roman"/>
                <w:sz w:val="24"/>
                <w:szCs w:val="24"/>
              </w:rPr>
              <w:t xml:space="preserve">pateikto </w:t>
            </w:r>
            <w:r w:rsidR="00887ACA">
              <w:rPr>
                <w:rFonts w:ascii="Times New Roman" w:hAnsi="Times New Roman"/>
                <w:sz w:val="24"/>
                <w:szCs w:val="24"/>
              </w:rPr>
              <w:t>sutarties projekto nuostatos, nesuderintos su Pirkimo sąlygų 8.2 priede „Pirkimo sutartis“ (</w:t>
            </w:r>
            <w:r w:rsidR="00FC262B">
              <w:rPr>
                <w:rFonts w:ascii="Times New Roman" w:hAnsi="Times New Roman"/>
                <w:sz w:val="24"/>
                <w:szCs w:val="24"/>
              </w:rPr>
              <w:t xml:space="preserve">sudaroma su Lietuvos automobilių kelių direkcija prie Susisiekimo ministerijos, </w:t>
            </w:r>
            <w:r w:rsidR="00887ACA">
              <w:rPr>
                <w:rFonts w:ascii="Times New Roman" w:hAnsi="Times New Roman"/>
                <w:sz w:val="24"/>
                <w:szCs w:val="24"/>
              </w:rPr>
              <w:t xml:space="preserve">toliau -  8.2 priedas) </w:t>
            </w:r>
            <w:r w:rsidR="00766ACB">
              <w:rPr>
                <w:rFonts w:ascii="Times New Roman" w:hAnsi="Times New Roman"/>
                <w:sz w:val="24"/>
                <w:szCs w:val="24"/>
              </w:rPr>
              <w:t>pateikto</w:t>
            </w:r>
            <w:r w:rsidR="00887ACA">
              <w:rPr>
                <w:rFonts w:ascii="Times New Roman" w:hAnsi="Times New Roman"/>
                <w:sz w:val="24"/>
                <w:szCs w:val="24"/>
              </w:rPr>
              <w:t xml:space="preserve"> sutarties projekto nuostatomis, pvz:</w:t>
            </w:r>
          </w:p>
          <w:p w14:paraId="21CB8F97" w14:textId="77777777" w:rsidR="00766ACB" w:rsidRDefault="00887ACA" w:rsidP="00766AC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4.1.</w:t>
            </w:r>
            <w:r w:rsidR="00766ACB">
              <w:rPr>
                <w:rFonts w:ascii="Times New Roman" w:hAnsi="Times New Roman"/>
                <w:sz w:val="24"/>
                <w:szCs w:val="24"/>
              </w:rPr>
              <w:t xml:space="preserve"> kainodaros taisyklės dėl įkainių perskaičiavimo sąlygų ir tvarkos (</w:t>
            </w:r>
            <w:r>
              <w:rPr>
                <w:rFonts w:ascii="Times New Roman" w:hAnsi="Times New Roman"/>
                <w:sz w:val="24"/>
                <w:szCs w:val="24"/>
              </w:rPr>
              <w:t>8.1 priedo</w:t>
            </w:r>
            <w:r w:rsidR="00766ACB">
              <w:rPr>
                <w:rFonts w:ascii="Times New Roman" w:hAnsi="Times New Roman"/>
                <w:sz w:val="24"/>
                <w:szCs w:val="24"/>
              </w:rPr>
              <w:t xml:space="preserve"> 9.9 punktas, 8.2 priedo 6 punktas);</w:t>
            </w:r>
          </w:p>
          <w:p w14:paraId="19506621" w14:textId="77777777" w:rsidR="00766ACB" w:rsidRDefault="00766ACB" w:rsidP="00766AC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4.2. darbų atlikimo sustabdymo sąlygos (8.1 priedo 6.1-6.4 punktai, 8.2 priedo 7-8 punktai);</w:t>
            </w:r>
          </w:p>
          <w:p w14:paraId="3C6AC466" w14:textId="77777777" w:rsidR="00442F41" w:rsidRDefault="00766ACB" w:rsidP="00766ACB">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4.3. pirkimo sutarties nutraukimo sąlygos (</w:t>
            </w:r>
            <w:r w:rsidR="00F903F6">
              <w:rPr>
                <w:rFonts w:ascii="Times New Roman" w:hAnsi="Times New Roman"/>
                <w:sz w:val="24"/>
                <w:szCs w:val="24"/>
              </w:rPr>
              <w:t xml:space="preserve">8.1 priedo 12 skyrius, 8.2 priedo X skyrius) ir t.t. </w:t>
            </w:r>
          </w:p>
          <w:p w14:paraId="66FD50AC" w14:textId="77777777" w:rsidR="00766ACB" w:rsidRPr="008B62D7" w:rsidRDefault="00766ACB" w:rsidP="00FC262B">
            <w:pPr>
              <w:spacing w:after="0" w:line="240" w:lineRule="auto"/>
              <w:ind w:firstLine="567"/>
              <w:jc w:val="both"/>
              <w:rPr>
                <w:rFonts w:ascii="Times New Roman" w:hAnsi="Times New Roman"/>
                <w:sz w:val="24"/>
                <w:szCs w:val="24"/>
              </w:rPr>
            </w:pPr>
            <w:r w:rsidRPr="00106A50">
              <w:rPr>
                <w:rFonts w:ascii="Times New Roman" w:hAnsi="Times New Roman"/>
                <w:bCs/>
                <w:sz w:val="24"/>
                <w:szCs w:val="24"/>
              </w:rPr>
              <w:t xml:space="preserve">Įvertinusi Pirkimo objekto specifiką, atliekamų darbų suderinamumą bei skirtingų sutarčių priežiūros sudėtingumą, </w:t>
            </w:r>
            <w:r w:rsidR="00F903F6">
              <w:rPr>
                <w:rFonts w:ascii="Times New Roman" w:hAnsi="Times New Roman"/>
                <w:bCs/>
                <w:sz w:val="24"/>
                <w:szCs w:val="24"/>
              </w:rPr>
              <w:t xml:space="preserve">bei Pirkimo tikslą, </w:t>
            </w:r>
            <w:r w:rsidRPr="00106A50">
              <w:rPr>
                <w:rFonts w:ascii="Times New Roman" w:hAnsi="Times New Roman"/>
                <w:bCs/>
                <w:sz w:val="24"/>
                <w:szCs w:val="24"/>
              </w:rPr>
              <w:t>Tarnyba rekomenduoja Perkančiajai organizacijai svarstyti ga</w:t>
            </w:r>
            <w:r w:rsidR="00FC262B">
              <w:rPr>
                <w:rFonts w:ascii="Times New Roman" w:hAnsi="Times New Roman"/>
                <w:bCs/>
                <w:sz w:val="24"/>
                <w:szCs w:val="24"/>
              </w:rPr>
              <w:t>limybę sudaryti trišalę sutartį.</w:t>
            </w:r>
            <w:r w:rsidRPr="00106A50">
              <w:rPr>
                <w:rFonts w:ascii="Times New Roman" w:hAnsi="Times New Roman"/>
                <w:bCs/>
                <w:sz w:val="24"/>
                <w:szCs w:val="24"/>
              </w:rPr>
              <w:t>.</w:t>
            </w:r>
          </w:p>
        </w:tc>
      </w:tr>
      <w:tr w:rsidR="00434A93" w:rsidRPr="008B62D7" w14:paraId="44188F07" w14:textId="77777777" w:rsidTr="000A43BE">
        <w:tc>
          <w:tcPr>
            <w:tcW w:w="675" w:type="dxa"/>
            <w:shd w:val="clear" w:color="auto" w:fill="auto"/>
            <w:vAlign w:val="center"/>
          </w:tcPr>
          <w:p w14:paraId="48EB82C0" w14:textId="77777777" w:rsidR="00D55597" w:rsidRPr="008B62D7" w:rsidRDefault="00D55597"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shd w:val="clear" w:color="auto" w:fill="auto"/>
          </w:tcPr>
          <w:p w14:paraId="0E03D53F" w14:textId="77777777" w:rsidR="00D55597" w:rsidRPr="008B62D7" w:rsidRDefault="00053395" w:rsidP="008B62D7">
            <w:pPr>
              <w:pStyle w:val="ListParagraph"/>
              <w:tabs>
                <w:tab w:val="left" w:pos="0"/>
                <w:tab w:val="left" w:pos="993"/>
                <w:tab w:val="left" w:pos="1276"/>
              </w:tabs>
              <w:spacing w:after="0" w:line="240" w:lineRule="auto"/>
              <w:ind w:left="0"/>
              <w:jc w:val="both"/>
              <w:rPr>
                <w:rFonts w:ascii="Times New Roman" w:hAnsi="Times New Roman"/>
                <w:sz w:val="24"/>
                <w:szCs w:val="24"/>
              </w:rPr>
            </w:pPr>
            <w:r w:rsidRPr="008B62D7">
              <w:rPr>
                <w:rFonts w:ascii="Times New Roman" w:hAnsi="Times New Roman"/>
                <w:sz w:val="24"/>
                <w:szCs w:val="24"/>
              </w:rPr>
              <w:t xml:space="preserve">Taisyklių  </w:t>
            </w:r>
            <w:r w:rsidR="00434A93" w:rsidRPr="008B62D7">
              <w:rPr>
                <w:rFonts w:ascii="Times New Roman" w:hAnsi="Times New Roman"/>
                <w:sz w:val="24"/>
                <w:szCs w:val="24"/>
              </w:rPr>
              <w:t xml:space="preserve">22.9 </w:t>
            </w:r>
            <w:r w:rsidRPr="008B62D7">
              <w:rPr>
                <w:rFonts w:ascii="Times New Roman" w:hAnsi="Times New Roman"/>
                <w:sz w:val="24"/>
                <w:szCs w:val="24"/>
              </w:rPr>
              <w:t>punktas</w:t>
            </w:r>
            <w:r w:rsidR="00434A93" w:rsidRPr="008B62D7">
              <w:rPr>
                <w:rStyle w:val="FootnoteReference"/>
                <w:rFonts w:ascii="Times New Roman" w:hAnsi="Times New Roman"/>
                <w:sz w:val="24"/>
                <w:szCs w:val="24"/>
              </w:rPr>
              <w:footnoteReference w:id="3"/>
            </w:r>
            <w:r w:rsidRPr="008B62D7">
              <w:rPr>
                <w:rFonts w:ascii="Times New Roman" w:hAnsi="Times New Roman"/>
                <w:sz w:val="24"/>
                <w:szCs w:val="24"/>
              </w:rPr>
              <w:t xml:space="preserve">, </w:t>
            </w:r>
            <w:r w:rsidR="00D55597" w:rsidRPr="008B62D7">
              <w:rPr>
                <w:rFonts w:ascii="Times New Roman" w:hAnsi="Times New Roman"/>
                <w:sz w:val="24"/>
                <w:szCs w:val="24"/>
              </w:rPr>
              <w:t xml:space="preserve">Įstatymo </w:t>
            </w:r>
            <w:r w:rsidR="00434A93" w:rsidRPr="008B62D7">
              <w:rPr>
                <w:rFonts w:ascii="Times New Roman" w:hAnsi="Times New Roman"/>
                <w:sz w:val="24"/>
                <w:szCs w:val="24"/>
              </w:rPr>
              <w:t>85 straipsnio 2 dalis</w:t>
            </w:r>
            <w:r w:rsidR="00434A93" w:rsidRPr="008B62D7">
              <w:rPr>
                <w:rStyle w:val="FootnoteReference"/>
                <w:rFonts w:ascii="Times New Roman" w:hAnsi="Times New Roman"/>
                <w:sz w:val="24"/>
                <w:szCs w:val="24"/>
              </w:rPr>
              <w:footnoteReference w:id="4"/>
            </w:r>
            <w:r w:rsidR="00434A93" w:rsidRPr="008B62D7">
              <w:rPr>
                <w:rFonts w:ascii="Times New Roman" w:hAnsi="Times New Roman"/>
                <w:sz w:val="24"/>
                <w:szCs w:val="24"/>
              </w:rPr>
              <w:t xml:space="preserve">, </w:t>
            </w:r>
            <w:r w:rsidRPr="008B62D7">
              <w:rPr>
                <w:rFonts w:ascii="Times New Roman" w:hAnsi="Times New Roman"/>
                <w:sz w:val="24"/>
                <w:szCs w:val="24"/>
              </w:rPr>
              <w:t>87</w:t>
            </w:r>
            <w:r w:rsidR="00D55597" w:rsidRPr="008B62D7">
              <w:rPr>
                <w:rFonts w:ascii="Times New Roman" w:hAnsi="Times New Roman"/>
                <w:sz w:val="24"/>
                <w:szCs w:val="24"/>
              </w:rPr>
              <w:t xml:space="preserve"> straipsnio </w:t>
            </w:r>
            <w:r w:rsidRPr="008B62D7">
              <w:rPr>
                <w:rFonts w:ascii="Times New Roman" w:hAnsi="Times New Roman"/>
                <w:sz w:val="24"/>
                <w:szCs w:val="24"/>
              </w:rPr>
              <w:t>1</w:t>
            </w:r>
            <w:r w:rsidR="00D55597" w:rsidRPr="008B62D7">
              <w:rPr>
                <w:rFonts w:ascii="Times New Roman" w:hAnsi="Times New Roman"/>
                <w:sz w:val="24"/>
                <w:szCs w:val="24"/>
              </w:rPr>
              <w:t xml:space="preserve"> dalis</w:t>
            </w:r>
            <w:r w:rsidR="00D55597" w:rsidRPr="008B62D7">
              <w:rPr>
                <w:rStyle w:val="FootnoteReference"/>
                <w:rFonts w:ascii="Times New Roman" w:hAnsi="Times New Roman"/>
                <w:sz w:val="24"/>
                <w:szCs w:val="24"/>
              </w:rPr>
              <w:footnoteReference w:id="5"/>
            </w:r>
            <w:r w:rsidRPr="008B62D7">
              <w:rPr>
                <w:rFonts w:ascii="Times New Roman" w:hAnsi="Times New Roman"/>
                <w:sz w:val="24"/>
                <w:szCs w:val="24"/>
              </w:rPr>
              <w:t>, 32 straipsnio 2 dalis</w:t>
            </w:r>
            <w:r w:rsidRPr="008B62D7">
              <w:rPr>
                <w:rStyle w:val="FootnoteReference"/>
                <w:rFonts w:ascii="Times New Roman" w:hAnsi="Times New Roman"/>
                <w:sz w:val="24"/>
                <w:szCs w:val="24"/>
              </w:rPr>
              <w:footnoteReference w:id="6"/>
            </w:r>
          </w:p>
        </w:tc>
      </w:tr>
      <w:tr w:rsidR="008D6FAC" w:rsidRPr="008B62D7" w14:paraId="4A6947CA" w14:textId="77777777" w:rsidTr="000A43BE">
        <w:tc>
          <w:tcPr>
            <w:tcW w:w="9747" w:type="dxa"/>
            <w:gridSpan w:val="2"/>
            <w:shd w:val="clear" w:color="auto" w:fill="auto"/>
            <w:vAlign w:val="center"/>
          </w:tcPr>
          <w:p w14:paraId="7D33E1C5" w14:textId="77777777" w:rsidR="001E4391" w:rsidRPr="008B62D7" w:rsidRDefault="00053395" w:rsidP="008B62D7">
            <w:pPr>
              <w:pStyle w:val="ListParagraph"/>
              <w:tabs>
                <w:tab w:val="left" w:pos="567"/>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 xml:space="preserve">Perkančioji organizacija Skelbime apie Pirkimą ir Pirkimo sąlygose nenustatė Kvalifikacijos </w:t>
            </w:r>
            <w:r w:rsidRPr="008B62D7">
              <w:rPr>
                <w:rFonts w:ascii="Times New Roman" w:hAnsi="Times New Roman"/>
                <w:bCs/>
                <w:sz w:val="24"/>
                <w:szCs w:val="24"/>
              </w:rPr>
              <w:lastRenderedPageBreak/>
              <w:t>reikalavimo privalomo pagal Įstatymo 33 straipsnio 1 dalies 3 punktą</w:t>
            </w:r>
            <w:r w:rsidRPr="008B62D7">
              <w:rPr>
                <w:rStyle w:val="FootnoteReference"/>
                <w:rFonts w:ascii="Times New Roman" w:hAnsi="Times New Roman"/>
                <w:bCs/>
                <w:sz w:val="24"/>
                <w:szCs w:val="24"/>
              </w:rPr>
              <w:footnoteReference w:id="7"/>
            </w:r>
            <w:r w:rsidRPr="008B62D7">
              <w:rPr>
                <w:rFonts w:ascii="Times New Roman" w:hAnsi="Times New Roman"/>
                <w:bCs/>
                <w:sz w:val="24"/>
                <w:szCs w:val="24"/>
              </w:rPr>
              <w:t>.</w:t>
            </w:r>
          </w:p>
        </w:tc>
      </w:tr>
      <w:tr w:rsidR="00C61B83" w:rsidRPr="008B62D7" w14:paraId="044A42D2" w14:textId="77777777" w:rsidTr="000A43BE">
        <w:tc>
          <w:tcPr>
            <w:tcW w:w="675" w:type="dxa"/>
            <w:tcBorders>
              <w:bottom w:val="single" w:sz="4" w:space="0" w:color="auto"/>
            </w:tcBorders>
            <w:shd w:val="clear" w:color="auto" w:fill="auto"/>
            <w:vAlign w:val="center"/>
          </w:tcPr>
          <w:p w14:paraId="43F3E8B9" w14:textId="77777777" w:rsidR="00C61B83" w:rsidRPr="008B62D7" w:rsidRDefault="00C61B83"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tcBorders>
              <w:bottom w:val="single" w:sz="4" w:space="0" w:color="auto"/>
            </w:tcBorders>
            <w:shd w:val="clear" w:color="auto" w:fill="auto"/>
          </w:tcPr>
          <w:p w14:paraId="7F33E0F6" w14:textId="77777777" w:rsidR="00C61B83" w:rsidRPr="008B62D7" w:rsidRDefault="00EB5EEF" w:rsidP="008B62D7">
            <w:pPr>
              <w:pStyle w:val="ListParagraph"/>
              <w:tabs>
                <w:tab w:val="left" w:pos="0"/>
                <w:tab w:val="left" w:pos="993"/>
                <w:tab w:val="left" w:pos="1276"/>
              </w:tabs>
              <w:spacing w:after="0" w:line="240" w:lineRule="auto"/>
              <w:ind w:left="0"/>
              <w:jc w:val="both"/>
              <w:rPr>
                <w:rFonts w:ascii="Times New Roman" w:hAnsi="Times New Roman"/>
                <w:bCs/>
                <w:sz w:val="24"/>
                <w:szCs w:val="24"/>
              </w:rPr>
            </w:pPr>
            <w:r w:rsidRPr="008B62D7">
              <w:rPr>
                <w:rFonts w:ascii="Times New Roman" w:hAnsi="Times New Roman"/>
                <w:sz w:val="24"/>
                <w:szCs w:val="24"/>
              </w:rPr>
              <w:t xml:space="preserve">Taisyklių  </w:t>
            </w:r>
            <w:r w:rsidR="008554A6" w:rsidRPr="008B62D7">
              <w:rPr>
                <w:rFonts w:ascii="Times New Roman" w:hAnsi="Times New Roman"/>
                <w:sz w:val="24"/>
                <w:szCs w:val="24"/>
              </w:rPr>
              <w:t>22.2</w:t>
            </w:r>
            <w:r w:rsidR="008554A6" w:rsidRPr="008B62D7">
              <w:rPr>
                <w:rStyle w:val="FootnoteReference"/>
                <w:rFonts w:ascii="Times New Roman" w:hAnsi="Times New Roman"/>
                <w:sz w:val="24"/>
                <w:szCs w:val="24"/>
              </w:rPr>
              <w:footnoteReference w:id="8"/>
            </w:r>
            <w:r w:rsidR="008554A6" w:rsidRPr="008B62D7">
              <w:rPr>
                <w:rFonts w:ascii="Times New Roman" w:hAnsi="Times New Roman"/>
                <w:sz w:val="24"/>
                <w:szCs w:val="24"/>
              </w:rPr>
              <w:t xml:space="preserve"> ir </w:t>
            </w:r>
            <w:r w:rsidRPr="008B62D7">
              <w:rPr>
                <w:rFonts w:ascii="Times New Roman" w:hAnsi="Times New Roman"/>
                <w:sz w:val="24"/>
                <w:szCs w:val="24"/>
              </w:rPr>
              <w:t>22.9 punktas</w:t>
            </w:r>
            <w:r w:rsidRPr="008B62D7">
              <w:rPr>
                <w:rStyle w:val="FootnoteReference"/>
                <w:rFonts w:ascii="Times New Roman" w:hAnsi="Times New Roman"/>
                <w:sz w:val="24"/>
                <w:szCs w:val="24"/>
              </w:rPr>
              <w:footnoteReference w:id="9"/>
            </w:r>
            <w:r w:rsidRPr="008B62D7">
              <w:rPr>
                <w:rFonts w:ascii="Times New Roman" w:hAnsi="Times New Roman"/>
                <w:sz w:val="24"/>
                <w:szCs w:val="24"/>
              </w:rPr>
              <w:t>, Įstatymo 85 straipsnio 2 dalis</w:t>
            </w:r>
            <w:r w:rsidRPr="008B62D7">
              <w:rPr>
                <w:rStyle w:val="FootnoteReference"/>
                <w:rFonts w:ascii="Times New Roman" w:hAnsi="Times New Roman"/>
                <w:sz w:val="24"/>
                <w:szCs w:val="24"/>
              </w:rPr>
              <w:footnoteReference w:id="10"/>
            </w:r>
            <w:r w:rsidRPr="008B62D7">
              <w:rPr>
                <w:rFonts w:ascii="Times New Roman" w:hAnsi="Times New Roman"/>
                <w:sz w:val="24"/>
                <w:szCs w:val="24"/>
              </w:rPr>
              <w:t>, 87 straipsnio 1 dalis</w:t>
            </w:r>
            <w:r w:rsidRPr="008B62D7">
              <w:rPr>
                <w:rStyle w:val="FootnoteReference"/>
                <w:rFonts w:ascii="Times New Roman" w:hAnsi="Times New Roman"/>
                <w:sz w:val="24"/>
                <w:szCs w:val="24"/>
              </w:rPr>
              <w:footnoteReference w:id="11"/>
            </w:r>
            <w:r w:rsidRPr="008B62D7">
              <w:rPr>
                <w:rFonts w:ascii="Times New Roman" w:hAnsi="Times New Roman"/>
                <w:sz w:val="24"/>
                <w:szCs w:val="24"/>
              </w:rPr>
              <w:t>, 32 straipsnio 2 dalis</w:t>
            </w:r>
            <w:r w:rsidRPr="008B62D7">
              <w:rPr>
                <w:rStyle w:val="FootnoteReference"/>
                <w:rFonts w:ascii="Times New Roman" w:hAnsi="Times New Roman"/>
                <w:sz w:val="24"/>
                <w:szCs w:val="24"/>
              </w:rPr>
              <w:footnoteReference w:id="12"/>
            </w:r>
          </w:p>
        </w:tc>
      </w:tr>
      <w:tr w:rsidR="00C61B83" w:rsidRPr="008B62D7" w14:paraId="6528C75A" w14:textId="77777777" w:rsidTr="000A43BE">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212BC" w14:textId="77777777" w:rsidR="00E65E87" w:rsidRPr="008B62D7" w:rsidRDefault="00FA132C" w:rsidP="008B62D7">
            <w:pPr>
              <w:suppressAutoHyphens/>
              <w:spacing w:after="0" w:line="240" w:lineRule="auto"/>
              <w:ind w:firstLine="567"/>
              <w:jc w:val="both"/>
              <w:rPr>
                <w:rFonts w:ascii="Times New Roman" w:hAnsi="Times New Roman"/>
                <w:bCs/>
                <w:sz w:val="24"/>
                <w:szCs w:val="24"/>
              </w:rPr>
            </w:pPr>
            <w:r w:rsidRPr="008B62D7">
              <w:rPr>
                <w:rFonts w:ascii="Times New Roman" w:hAnsi="Times New Roman"/>
                <w:bCs/>
                <w:sz w:val="24"/>
                <w:szCs w:val="24"/>
              </w:rPr>
              <w:t xml:space="preserve">Skelbimo apie Pirkimą III.2.1 punkto </w:t>
            </w:r>
            <w:r w:rsidR="00EB5EEF" w:rsidRPr="008B62D7">
              <w:rPr>
                <w:rFonts w:ascii="Times New Roman" w:hAnsi="Times New Roman"/>
                <w:bCs/>
                <w:sz w:val="24"/>
                <w:szCs w:val="24"/>
              </w:rPr>
              <w:t>9</w:t>
            </w:r>
            <w:r w:rsidRPr="008B62D7">
              <w:rPr>
                <w:rFonts w:ascii="Times New Roman" w:hAnsi="Times New Roman"/>
                <w:bCs/>
                <w:sz w:val="24"/>
                <w:szCs w:val="24"/>
              </w:rPr>
              <w:t xml:space="preserve"> papunktyje i</w:t>
            </w:r>
            <w:r w:rsidR="00EB5EEF" w:rsidRPr="008B62D7">
              <w:rPr>
                <w:rFonts w:ascii="Times New Roman" w:hAnsi="Times New Roman"/>
                <w:bCs/>
                <w:sz w:val="24"/>
                <w:szCs w:val="24"/>
              </w:rPr>
              <w:t>r Pirkimo sąlygų 3.9</w:t>
            </w:r>
            <w:r w:rsidRPr="008B62D7">
              <w:rPr>
                <w:rFonts w:ascii="Times New Roman" w:hAnsi="Times New Roman"/>
                <w:bCs/>
                <w:sz w:val="24"/>
                <w:szCs w:val="24"/>
              </w:rPr>
              <w:t xml:space="preserve"> punkte nustatytas </w:t>
            </w:r>
            <w:r w:rsidR="00E65E87" w:rsidRPr="008B62D7">
              <w:rPr>
                <w:rFonts w:ascii="Times New Roman" w:hAnsi="Times New Roman"/>
                <w:bCs/>
                <w:sz w:val="24"/>
                <w:szCs w:val="24"/>
              </w:rPr>
              <w:t xml:space="preserve">kvalifikacijos </w:t>
            </w:r>
            <w:r w:rsidRPr="008B62D7">
              <w:rPr>
                <w:rFonts w:ascii="Times New Roman" w:hAnsi="Times New Roman"/>
                <w:bCs/>
                <w:sz w:val="24"/>
                <w:szCs w:val="24"/>
              </w:rPr>
              <w:t>reikalavimas, kad</w:t>
            </w:r>
            <w:r w:rsidR="00EB5EEF" w:rsidRPr="008B62D7">
              <w:rPr>
                <w:rFonts w:ascii="Times New Roman" w:hAnsi="Times New Roman"/>
                <w:bCs/>
                <w:sz w:val="24"/>
                <w:szCs w:val="24"/>
              </w:rPr>
              <w:t xml:space="preserve"> „</w:t>
            </w:r>
            <w:r w:rsidR="00EB5EEF" w:rsidRPr="008B62D7">
              <w:rPr>
                <w:rFonts w:ascii="Times New Roman" w:hAnsi="Times New Roman"/>
                <w:sz w:val="24"/>
                <w:szCs w:val="24"/>
              </w:rPr>
              <w:t xml:space="preserve">Tiekėjo per paskutinius 5 metus iki pasiūlymų pateikimo termino pabaigos </w:t>
            </w:r>
            <w:r w:rsidR="00E65E87" w:rsidRPr="008B62D7">
              <w:rPr>
                <w:rFonts w:ascii="Times New Roman" w:hAnsi="Times New Roman"/>
                <w:sz w:val="24"/>
                <w:szCs w:val="24"/>
              </w:rPr>
              <w:t>&lt;...&gt;</w:t>
            </w:r>
            <w:r w:rsidR="00EB5EEF" w:rsidRPr="008B62D7">
              <w:rPr>
                <w:rFonts w:ascii="Times New Roman" w:hAnsi="Times New Roman"/>
                <w:sz w:val="24"/>
                <w:szCs w:val="24"/>
              </w:rPr>
              <w:t xml:space="preserve"> vienos tinkamai įvykdytos sutarties ypatingų statinių grupei priskiriamuose statiniuose:</w:t>
            </w:r>
            <w:r w:rsidR="0053084B" w:rsidRPr="008B62D7">
              <w:rPr>
                <w:rFonts w:ascii="Times New Roman" w:hAnsi="Times New Roman"/>
                <w:sz w:val="24"/>
                <w:szCs w:val="24"/>
              </w:rPr>
              <w:t xml:space="preserve"> - </w:t>
            </w:r>
            <w:r w:rsidR="00EB5EEF" w:rsidRPr="008B62D7">
              <w:rPr>
                <w:rFonts w:ascii="Times New Roman" w:hAnsi="Times New Roman"/>
                <w:sz w:val="24"/>
                <w:szCs w:val="24"/>
              </w:rPr>
              <w:t>miestų, miestelių gatvėse su indeksu A, B ar (ir) C kategorijų gatvėse ir jų sankryžose, kurios vertė turi būti ne mažesnė kaip</w:t>
            </w:r>
            <w:r w:rsidR="00EB5EEF" w:rsidRPr="008B62D7">
              <w:rPr>
                <w:rFonts w:ascii="Times New Roman" w:hAnsi="Times New Roman"/>
                <w:b/>
                <w:sz w:val="24"/>
                <w:szCs w:val="24"/>
              </w:rPr>
              <w:t xml:space="preserve"> 3,2 mln. Eur</w:t>
            </w:r>
            <w:r w:rsidR="00EB5EEF" w:rsidRPr="008B62D7">
              <w:rPr>
                <w:rFonts w:ascii="Times New Roman" w:hAnsi="Times New Roman"/>
                <w:sz w:val="24"/>
                <w:szCs w:val="24"/>
              </w:rPr>
              <w:t xml:space="preserve"> </w:t>
            </w:r>
            <w:r w:rsidR="00EB5EEF" w:rsidRPr="008B62D7">
              <w:rPr>
                <w:rFonts w:ascii="Times New Roman" w:hAnsi="Times New Roman"/>
                <w:b/>
                <w:sz w:val="24"/>
                <w:szCs w:val="24"/>
              </w:rPr>
              <w:t>su PVM</w:t>
            </w:r>
            <w:r w:rsidR="0053084B" w:rsidRPr="008B62D7">
              <w:rPr>
                <w:rFonts w:ascii="Times New Roman" w:hAnsi="Times New Roman"/>
                <w:sz w:val="24"/>
                <w:szCs w:val="24"/>
              </w:rPr>
              <w:t xml:space="preserve">“, </w:t>
            </w:r>
            <w:r w:rsidR="0053084B" w:rsidRPr="008B62D7">
              <w:rPr>
                <w:rFonts w:ascii="Times New Roman" w:hAnsi="Times New Roman"/>
                <w:bCs/>
                <w:sz w:val="24"/>
                <w:szCs w:val="24"/>
              </w:rPr>
              <w:t>yra nepagrįstai aukštas, neproporcingas,</w:t>
            </w:r>
            <w:r w:rsidR="00E65E87" w:rsidRPr="008B62D7">
              <w:rPr>
                <w:rFonts w:ascii="Times New Roman" w:hAnsi="Times New Roman"/>
                <w:bCs/>
                <w:sz w:val="24"/>
                <w:szCs w:val="24"/>
              </w:rPr>
              <w:t xml:space="preserve"> dirbtinai ribojantis konkurenciją</w:t>
            </w:r>
            <w:r w:rsidR="00DD2A99" w:rsidRPr="008B62D7">
              <w:rPr>
                <w:rFonts w:ascii="Times New Roman" w:hAnsi="Times New Roman"/>
                <w:bCs/>
                <w:sz w:val="24"/>
                <w:szCs w:val="24"/>
              </w:rPr>
              <w:t>, kadangi</w:t>
            </w:r>
            <w:r w:rsidR="00E65E87" w:rsidRPr="008B62D7">
              <w:rPr>
                <w:rFonts w:ascii="Times New Roman" w:hAnsi="Times New Roman"/>
                <w:bCs/>
                <w:sz w:val="24"/>
                <w:szCs w:val="24"/>
              </w:rPr>
              <w:t>:</w:t>
            </w:r>
          </w:p>
          <w:p w14:paraId="74C582B9" w14:textId="77777777" w:rsidR="002A79D1" w:rsidRDefault="00B92F67" w:rsidP="008B62D7">
            <w:pPr>
              <w:pStyle w:val="ListParagraph"/>
              <w:tabs>
                <w:tab w:val="left" w:pos="567"/>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1</w:t>
            </w:r>
            <w:r w:rsidR="0023110B" w:rsidRPr="008B62D7">
              <w:rPr>
                <w:rFonts w:ascii="Times New Roman" w:hAnsi="Times New Roman"/>
                <w:bCs/>
                <w:sz w:val="24"/>
                <w:szCs w:val="24"/>
              </w:rPr>
              <w:t xml:space="preserve">. </w:t>
            </w:r>
            <w:r w:rsidR="00DD2A99" w:rsidRPr="008B62D7">
              <w:rPr>
                <w:rFonts w:ascii="Times New Roman" w:hAnsi="Times New Roman"/>
                <w:bCs/>
                <w:sz w:val="24"/>
                <w:szCs w:val="24"/>
              </w:rPr>
              <w:t xml:space="preserve">Pirkimo sąlygų 2.1.2 punkte </w:t>
            </w:r>
            <w:r w:rsidR="00465D54" w:rsidRPr="008B62D7">
              <w:rPr>
                <w:rFonts w:ascii="Times New Roman" w:hAnsi="Times New Roman"/>
                <w:bCs/>
                <w:sz w:val="24"/>
                <w:szCs w:val="24"/>
              </w:rPr>
              <w:t xml:space="preserve">nurodyta, kad šiuo Pirkimu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00465D54" w:rsidRPr="008B62D7">
              <w:rPr>
                <w:rFonts w:ascii="Times New Roman" w:hAnsi="Times New Roman"/>
                <w:bCs/>
                <w:sz w:val="24"/>
                <w:szCs w:val="24"/>
              </w:rPr>
              <w:t>organizacija numato įsigyti</w:t>
            </w:r>
            <w:r w:rsidR="00DD2A99" w:rsidRPr="008B62D7">
              <w:rPr>
                <w:rFonts w:ascii="Times New Roman" w:hAnsi="Times New Roman"/>
                <w:bCs/>
                <w:sz w:val="24"/>
                <w:szCs w:val="24"/>
              </w:rPr>
              <w:t>: inžinerinių tinklų paklojim</w:t>
            </w:r>
            <w:r w:rsidR="00465D54" w:rsidRPr="008B62D7">
              <w:rPr>
                <w:rFonts w:ascii="Times New Roman" w:hAnsi="Times New Roman"/>
                <w:bCs/>
                <w:sz w:val="24"/>
                <w:szCs w:val="24"/>
              </w:rPr>
              <w:t>ą</w:t>
            </w:r>
            <w:r w:rsidR="00DD2A99" w:rsidRPr="008B62D7">
              <w:rPr>
                <w:rFonts w:ascii="Times New Roman" w:hAnsi="Times New Roman"/>
                <w:bCs/>
                <w:sz w:val="24"/>
                <w:szCs w:val="24"/>
              </w:rPr>
              <w:t>, dviračių ir pėsčiųjų takų įrengim</w:t>
            </w:r>
            <w:r w:rsidR="00465D54" w:rsidRPr="008B62D7">
              <w:rPr>
                <w:rFonts w:ascii="Times New Roman" w:hAnsi="Times New Roman"/>
                <w:bCs/>
                <w:sz w:val="24"/>
                <w:szCs w:val="24"/>
              </w:rPr>
              <w:t>ą</w:t>
            </w:r>
            <w:r w:rsidR="00DD2A99" w:rsidRPr="008B62D7">
              <w:rPr>
                <w:rFonts w:ascii="Times New Roman" w:hAnsi="Times New Roman"/>
                <w:bCs/>
                <w:sz w:val="24"/>
                <w:szCs w:val="24"/>
              </w:rPr>
              <w:t>, gerovės sutvarkym</w:t>
            </w:r>
            <w:r w:rsidR="00465D54" w:rsidRPr="008B62D7">
              <w:rPr>
                <w:rFonts w:ascii="Times New Roman" w:hAnsi="Times New Roman"/>
                <w:bCs/>
                <w:sz w:val="24"/>
                <w:szCs w:val="24"/>
              </w:rPr>
              <w:t>ą</w:t>
            </w:r>
            <w:r w:rsidR="00DD2A99" w:rsidRPr="008B62D7">
              <w:rPr>
                <w:rFonts w:ascii="Times New Roman" w:hAnsi="Times New Roman"/>
                <w:bCs/>
                <w:sz w:val="24"/>
                <w:szCs w:val="24"/>
              </w:rPr>
              <w:t>, gatvės dangų su dangos konstrukcijų drenažu ir su gatvės bortais įrengim</w:t>
            </w:r>
            <w:r w:rsidR="00465D54" w:rsidRPr="008B62D7">
              <w:rPr>
                <w:rFonts w:ascii="Times New Roman" w:hAnsi="Times New Roman"/>
                <w:bCs/>
                <w:sz w:val="24"/>
                <w:szCs w:val="24"/>
              </w:rPr>
              <w:t>ą; ženklinimo įrengimą</w:t>
            </w:r>
            <w:r w:rsidR="00DD2A99" w:rsidRPr="008B62D7">
              <w:rPr>
                <w:rFonts w:ascii="Times New Roman" w:hAnsi="Times New Roman"/>
                <w:bCs/>
                <w:sz w:val="24"/>
                <w:szCs w:val="24"/>
              </w:rPr>
              <w:t xml:space="preserve"> ir kelio ženklų pastatym</w:t>
            </w:r>
            <w:r w:rsidR="00465D54" w:rsidRPr="008B62D7">
              <w:rPr>
                <w:rFonts w:ascii="Times New Roman" w:hAnsi="Times New Roman"/>
                <w:bCs/>
                <w:sz w:val="24"/>
                <w:szCs w:val="24"/>
              </w:rPr>
              <w:t>ą</w:t>
            </w:r>
            <w:r w:rsidR="00123286">
              <w:rPr>
                <w:rFonts w:ascii="Times New Roman" w:hAnsi="Times New Roman"/>
                <w:bCs/>
                <w:sz w:val="24"/>
                <w:szCs w:val="24"/>
              </w:rPr>
              <w:t>.</w:t>
            </w:r>
            <w:r w:rsidR="00C349E5" w:rsidRPr="008B62D7">
              <w:rPr>
                <w:rFonts w:ascii="Times New Roman" w:hAnsi="Times New Roman"/>
                <w:bCs/>
                <w:sz w:val="24"/>
                <w:szCs w:val="24"/>
              </w:rPr>
              <w:t xml:space="preserve"> Pirkimo sąlygų 3.9 punkte nurodyta įvykdytos </w:t>
            </w:r>
            <w:r w:rsidR="00C349E5" w:rsidRPr="008B62D7">
              <w:rPr>
                <w:rFonts w:ascii="Times New Roman" w:hAnsi="Times New Roman"/>
                <w:sz w:val="24"/>
                <w:szCs w:val="24"/>
              </w:rPr>
              <w:t>sutarties  vertė -</w:t>
            </w:r>
            <w:r w:rsidR="00C349E5" w:rsidRPr="008B62D7">
              <w:rPr>
                <w:rFonts w:ascii="Times New Roman" w:hAnsi="Times New Roman"/>
                <w:b/>
                <w:sz w:val="24"/>
                <w:szCs w:val="24"/>
              </w:rPr>
              <w:t xml:space="preserve"> 3,2 mln. Eur</w:t>
            </w:r>
            <w:r w:rsidR="00C349E5" w:rsidRPr="008B62D7">
              <w:rPr>
                <w:rFonts w:ascii="Times New Roman" w:hAnsi="Times New Roman"/>
                <w:sz w:val="24"/>
                <w:szCs w:val="24"/>
              </w:rPr>
              <w:t xml:space="preserve"> </w:t>
            </w:r>
            <w:r w:rsidR="00C349E5" w:rsidRPr="008B62D7">
              <w:rPr>
                <w:rFonts w:ascii="Times New Roman" w:hAnsi="Times New Roman"/>
                <w:b/>
                <w:sz w:val="24"/>
                <w:szCs w:val="24"/>
              </w:rPr>
              <w:t>su PVM</w:t>
            </w:r>
            <w:r w:rsidR="00C349E5" w:rsidRPr="008B62D7">
              <w:rPr>
                <w:rFonts w:ascii="Times New Roman" w:hAnsi="Times New Roman"/>
                <w:bCs/>
                <w:sz w:val="24"/>
                <w:szCs w:val="24"/>
              </w:rPr>
              <w:t xml:space="preserve"> nustatyta</w:t>
            </w:r>
            <w:r w:rsidR="00123286">
              <w:rPr>
                <w:rFonts w:ascii="Times New Roman" w:hAnsi="Times New Roman"/>
                <w:bCs/>
                <w:sz w:val="24"/>
                <w:szCs w:val="24"/>
              </w:rPr>
              <w:t>,</w:t>
            </w:r>
            <w:r w:rsidR="00C349E5" w:rsidRPr="008B62D7">
              <w:rPr>
                <w:rFonts w:ascii="Times New Roman" w:hAnsi="Times New Roman"/>
                <w:bCs/>
                <w:sz w:val="24"/>
                <w:szCs w:val="24"/>
              </w:rPr>
              <w:t xml:space="preserve"> įvertinus visus Pirkimu numatomu</w:t>
            </w:r>
            <w:r w:rsidR="00123286">
              <w:rPr>
                <w:rFonts w:ascii="Times New Roman" w:hAnsi="Times New Roman"/>
                <w:bCs/>
                <w:sz w:val="24"/>
                <w:szCs w:val="24"/>
              </w:rPr>
              <w:t>s</w:t>
            </w:r>
            <w:r w:rsidR="00C349E5" w:rsidRPr="008B62D7">
              <w:rPr>
                <w:rFonts w:ascii="Times New Roman" w:hAnsi="Times New Roman"/>
                <w:bCs/>
                <w:sz w:val="24"/>
                <w:szCs w:val="24"/>
              </w:rPr>
              <w:t xml:space="preserve"> įsigyti darbus, t. y. numatomos sudaryti sutarties vertę sudaro ne tik darbai </w:t>
            </w:r>
            <w:r w:rsidR="00B84937" w:rsidRPr="008B62D7">
              <w:rPr>
                <w:rFonts w:ascii="Times New Roman" w:hAnsi="Times New Roman"/>
                <w:bCs/>
                <w:sz w:val="24"/>
                <w:szCs w:val="24"/>
              </w:rPr>
              <w:t>gatvė</w:t>
            </w:r>
            <w:r w:rsidR="00B84937">
              <w:rPr>
                <w:rFonts w:ascii="Times New Roman" w:hAnsi="Times New Roman"/>
                <w:bCs/>
                <w:sz w:val="24"/>
                <w:szCs w:val="24"/>
              </w:rPr>
              <w:t>se</w:t>
            </w:r>
            <w:r w:rsidR="00C3059E" w:rsidRPr="008B62D7">
              <w:rPr>
                <w:rFonts w:ascii="Times New Roman" w:hAnsi="Times New Roman"/>
                <w:bCs/>
                <w:sz w:val="24"/>
                <w:szCs w:val="24"/>
              </w:rPr>
              <w:t>, tačiau ir darbai</w:t>
            </w:r>
            <w:r w:rsidR="00123286">
              <w:rPr>
                <w:rFonts w:ascii="Times New Roman" w:hAnsi="Times New Roman"/>
                <w:bCs/>
                <w:sz w:val="24"/>
                <w:szCs w:val="24"/>
              </w:rPr>
              <w:t>,</w:t>
            </w:r>
            <w:r w:rsidR="00C3059E" w:rsidRPr="008B62D7">
              <w:rPr>
                <w:rFonts w:ascii="Times New Roman" w:hAnsi="Times New Roman"/>
                <w:bCs/>
                <w:sz w:val="24"/>
                <w:szCs w:val="24"/>
              </w:rPr>
              <w:t xml:space="preserve"> kurių atlikimas </w:t>
            </w:r>
            <w:r w:rsidR="00D26612" w:rsidRPr="008B62D7">
              <w:rPr>
                <w:rFonts w:ascii="Times New Roman" w:hAnsi="Times New Roman"/>
                <w:bCs/>
                <w:sz w:val="24"/>
                <w:szCs w:val="24"/>
              </w:rPr>
              <w:t>ne</w:t>
            </w:r>
            <w:r w:rsidR="00D26612">
              <w:rPr>
                <w:rFonts w:ascii="Times New Roman" w:hAnsi="Times New Roman"/>
                <w:bCs/>
                <w:sz w:val="24"/>
                <w:szCs w:val="24"/>
              </w:rPr>
              <w:t>s</w:t>
            </w:r>
            <w:r w:rsidR="00D26612" w:rsidRPr="008B62D7">
              <w:rPr>
                <w:rFonts w:ascii="Times New Roman" w:hAnsi="Times New Roman"/>
                <w:bCs/>
                <w:sz w:val="24"/>
                <w:szCs w:val="24"/>
              </w:rPr>
              <w:t xml:space="preserve">usijęs </w:t>
            </w:r>
            <w:r w:rsidR="00C3059E" w:rsidRPr="008B62D7">
              <w:rPr>
                <w:rFonts w:ascii="Times New Roman" w:hAnsi="Times New Roman"/>
                <w:bCs/>
                <w:sz w:val="24"/>
                <w:szCs w:val="24"/>
              </w:rPr>
              <w:t>su kelių (gatvių) t</w:t>
            </w:r>
            <w:r w:rsidR="00181B41">
              <w:rPr>
                <w:rFonts w:ascii="Times New Roman" w:hAnsi="Times New Roman"/>
                <w:bCs/>
                <w:sz w:val="24"/>
                <w:szCs w:val="24"/>
              </w:rPr>
              <w:t>i</w:t>
            </w:r>
            <w:r w:rsidR="00C3059E" w:rsidRPr="008B62D7">
              <w:rPr>
                <w:rFonts w:ascii="Times New Roman" w:hAnsi="Times New Roman"/>
                <w:bCs/>
                <w:sz w:val="24"/>
                <w:szCs w:val="24"/>
              </w:rPr>
              <w:t>esimu, remontu ar rekonstrukcija;</w:t>
            </w:r>
            <w:r w:rsidR="00C349E5" w:rsidRPr="008B62D7">
              <w:rPr>
                <w:rFonts w:ascii="Times New Roman" w:hAnsi="Times New Roman"/>
                <w:bCs/>
                <w:sz w:val="24"/>
                <w:szCs w:val="24"/>
              </w:rPr>
              <w:t xml:space="preserve"> </w:t>
            </w:r>
          </w:p>
          <w:p w14:paraId="5834D789" w14:textId="77777777" w:rsidR="00EF30EC" w:rsidRPr="00FB665A" w:rsidRDefault="002A79D1" w:rsidP="00FB665A">
            <w:pPr>
              <w:spacing w:after="0" w:line="240" w:lineRule="auto"/>
              <w:ind w:firstLine="567"/>
              <w:jc w:val="both"/>
              <w:rPr>
                <w:rFonts w:ascii="Times New Roman" w:eastAsia="Times New Roman" w:hAnsi="Times New Roman"/>
                <w:color w:val="000000"/>
                <w:sz w:val="24"/>
                <w:szCs w:val="24"/>
                <w:lang w:eastAsia="lt-LT"/>
              </w:rPr>
            </w:pPr>
            <w:r w:rsidRPr="00EF30EC">
              <w:rPr>
                <w:rFonts w:ascii="Times New Roman" w:hAnsi="Times New Roman"/>
                <w:bCs/>
                <w:sz w:val="24"/>
                <w:szCs w:val="24"/>
              </w:rPr>
              <w:t>2. Tiekėjas siekdamas įrodyti atitikt</w:t>
            </w:r>
            <w:r w:rsidR="00885655">
              <w:rPr>
                <w:rFonts w:ascii="Times New Roman" w:hAnsi="Times New Roman"/>
                <w:bCs/>
                <w:sz w:val="24"/>
                <w:szCs w:val="24"/>
              </w:rPr>
              <w:t>į</w:t>
            </w:r>
            <w:r w:rsidRPr="00EF30EC">
              <w:rPr>
                <w:rFonts w:ascii="Times New Roman" w:hAnsi="Times New Roman"/>
                <w:bCs/>
                <w:sz w:val="24"/>
                <w:szCs w:val="24"/>
              </w:rPr>
              <w:t xml:space="preserve"> Pirkimo sąlygų 3.9 punkte nustatytam reikalavimui, turi pateikti informaciją apie vieną tinkamai įvykdytą sutartį</w:t>
            </w:r>
            <w:r w:rsidR="00B84937" w:rsidRPr="00792160">
              <w:rPr>
                <w:rFonts w:ascii="Times New Roman" w:hAnsi="Times New Roman"/>
                <w:bCs/>
                <w:sz w:val="24"/>
                <w:szCs w:val="24"/>
              </w:rPr>
              <w:t xml:space="preserve"> </w:t>
            </w:r>
            <w:r w:rsidR="00533D74" w:rsidRPr="00FB665A">
              <w:rPr>
                <w:rFonts w:ascii="Times New Roman" w:hAnsi="Times New Roman"/>
                <w:bCs/>
                <w:sz w:val="24"/>
                <w:szCs w:val="24"/>
              </w:rPr>
              <w:t>ypat</w:t>
            </w:r>
            <w:r w:rsidR="00B84937" w:rsidRPr="00FB665A">
              <w:rPr>
                <w:rFonts w:ascii="Times New Roman" w:hAnsi="Times New Roman"/>
                <w:bCs/>
                <w:sz w:val="24"/>
                <w:szCs w:val="24"/>
              </w:rPr>
              <w:t>ingų statinių grupei priskiriamu</w:t>
            </w:r>
            <w:r w:rsidR="00533D74" w:rsidRPr="00FB665A">
              <w:rPr>
                <w:rFonts w:ascii="Times New Roman" w:hAnsi="Times New Roman"/>
                <w:bCs/>
                <w:sz w:val="24"/>
                <w:szCs w:val="24"/>
              </w:rPr>
              <w:t xml:space="preserve">ose statiniuose – </w:t>
            </w:r>
            <w:r w:rsidR="002E7CF9" w:rsidRPr="00FB665A">
              <w:rPr>
                <w:rFonts w:ascii="Times New Roman" w:hAnsi="Times New Roman"/>
                <w:bCs/>
                <w:sz w:val="24"/>
                <w:szCs w:val="24"/>
              </w:rPr>
              <w:t>kel</w:t>
            </w:r>
            <w:r w:rsidR="002E7CF9">
              <w:rPr>
                <w:rFonts w:ascii="Times New Roman" w:hAnsi="Times New Roman"/>
                <w:bCs/>
                <w:sz w:val="24"/>
                <w:szCs w:val="24"/>
              </w:rPr>
              <w:t xml:space="preserve">iai </w:t>
            </w:r>
            <w:r w:rsidR="005638AA" w:rsidRPr="00FB665A">
              <w:rPr>
                <w:rFonts w:ascii="Times New Roman" w:hAnsi="Times New Roman"/>
                <w:bCs/>
                <w:sz w:val="24"/>
                <w:szCs w:val="24"/>
              </w:rPr>
              <w:t>(</w:t>
            </w:r>
            <w:r w:rsidR="00533D74" w:rsidRPr="00FB665A">
              <w:rPr>
                <w:rFonts w:ascii="Times New Roman" w:hAnsi="Times New Roman"/>
                <w:bCs/>
                <w:sz w:val="24"/>
                <w:szCs w:val="24"/>
              </w:rPr>
              <w:t>gatvė</w:t>
            </w:r>
            <w:r w:rsidR="002E7CF9">
              <w:rPr>
                <w:rFonts w:ascii="Times New Roman" w:hAnsi="Times New Roman"/>
                <w:bCs/>
                <w:sz w:val="24"/>
                <w:szCs w:val="24"/>
              </w:rPr>
              <w:t>s</w:t>
            </w:r>
            <w:r w:rsidR="005638AA" w:rsidRPr="00FB665A">
              <w:rPr>
                <w:rFonts w:ascii="Times New Roman" w:hAnsi="Times New Roman"/>
                <w:bCs/>
                <w:sz w:val="24"/>
                <w:szCs w:val="24"/>
              </w:rPr>
              <w:t>)</w:t>
            </w:r>
            <w:r w:rsidR="00533D74" w:rsidRPr="00FB665A">
              <w:rPr>
                <w:rFonts w:ascii="Times New Roman" w:hAnsi="Times New Roman"/>
                <w:bCs/>
                <w:sz w:val="24"/>
                <w:szCs w:val="24"/>
              </w:rPr>
              <w:t xml:space="preserve">. </w:t>
            </w:r>
            <w:r w:rsidR="00C82A06" w:rsidRPr="00FB665A">
              <w:rPr>
                <w:rFonts w:ascii="Times New Roman" w:hAnsi="Times New Roman"/>
                <w:sz w:val="24"/>
                <w:szCs w:val="24"/>
              </w:rPr>
              <w:t>Perkančioji organizacija šį reikalavimą grindžia tuo, kad</w:t>
            </w:r>
            <w:r w:rsidR="00C82A06" w:rsidRPr="00EF30EC">
              <w:rPr>
                <w:rFonts w:ascii="Times New Roman" w:hAnsi="Times New Roman"/>
                <w:bCs/>
                <w:sz w:val="24"/>
                <w:szCs w:val="24"/>
              </w:rPr>
              <w:t xml:space="preserve"> „&lt;...&gt; darbų atlikimas gatvėje (statinių grupė </w:t>
            </w:r>
            <w:r w:rsidR="00C82A06" w:rsidRPr="00792160">
              <w:rPr>
                <w:rFonts w:ascii="Times New Roman" w:hAnsi="Times New Roman"/>
                <w:bCs/>
                <w:sz w:val="24"/>
                <w:szCs w:val="24"/>
              </w:rPr>
              <w:t>–</w:t>
            </w:r>
            <w:r w:rsidR="00C82A06" w:rsidRPr="00FB665A">
              <w:rPr>
                <w:rFonts w:ascii="Times New Roman" w:hAnsi="Times New Roman"/>
                <w:bCs/>
                <w:sz w:val="24"/>
                <w:szCs w:val="24"/>
              </w:rPr>
              <w:t xml:space="preserve"> keliai (gatvės)), atsižvelgiant į darbų specifiką bei atlikimo vietą, ženkliai skiriasi nuo, pavyzdžiui, darbų atlikimo kelyje (statinių grupė: keliai). Gatvės yra išsidė</w:t>
            </w:r>
            <w:r w:rsidR="00C82A06" w:rsidRPr="00F761E0">
              <w:rPr>
                <w:rFonts w:ascii="Times New Roman" w:hAnsi="Times New Roman"/>
                <w:bCs/>
                <w:sz w:val="24"/>
                <w:szCs w:val="24"/>
              </w:rPr>
              <w:t>sčiusios gyvenamosiose zonose, kur yra ženkliai didesnis komunikacijų kiekis, bei ženkliai sudėtingesnės riboto darbo sąlygos. &lt;...&gt; Gatvių specifiką apibrėžia ir jų klasifikacija pagal paskirtį: „miesto ilgi ir pastovūs transporto ryšiai bei ryšiai su sva</w:t>
            </w:r>
            <w:r w:rsidR="00C82A06" w:rsidRPr="004A2E0C">
              <w:rPr>
                <w:rFonts w:ascii="Times New Roman" w:hAnsi="Times New Roman"/>
                <w:bCs/>
                <w:sz w:val="24"/>
                <w:szCs w:val="24"/>
              </w:rPr>
              <w:t>rbiausiais keliais. Tranzitinis eismas. Susisiekimas tarp miesto funkcinių zonų, rajonų, centrų, didžiųjų transporto stočių.</w:t>
            </w:r>
            <w:r w:rsidR="00C82A06" w:rsidRPr="00AF73D3">
              <w:rPr>
                <w:rFonts w:ascii="Times New Roman" w:hAnsi="Times New Roman"/>
                <w:bCs/>
                <w:sz w:val="24"/>
                <w:szCs w:val="24"/>
              </w:rPr>
              <w:t xml:space="preserve"> Ryšiai su užmiesčio keliais. Miesto plano funkcinės ir kompozicinės ašys. Pagrindinės keleivių viešojo susisiekimo linijos.</w:t>
            </w:r>
            <w:r w:rsidR="00C82A06" w:rsidRPr="003E6518">
              <w:rPr>
                <w:rFonts w:ascii="Times New Roman" w:hAnsi="Times New Roman"/>
                <w:bCs/>
                <w:sz w:val="24"/>
                <w:szCs w:val="24"/>
              </w:rPr>
              <w:t xml:space="preserve"> Miesto vidaus transporto ryšiai“.</w:t>
            </w:r>
            <w:r w:rsidR="00A249D8" w:rsidRPr="00095554">
              <w:rPr>
                <w:rFonts w:ascii="Times New Roman" w:hAnsi="Times New Roman"/>
                <w:bCs/>
                <w:sz w:val="24"/>
                <w:szCs w:val="24"/>
              </w:rPr>
              <w:t xml:space="preserve"> Tačiau atsižvelgiant </w:t>
            </w:r>
            <w:r w:rsidR="0082578B" w:rsidRPr="00C7523F">
              <w:rPr>
                <w:rFonts w:ascii="Times New Roman" w:hAnsi="Times New Roman"/>
                <w:bCs/>
                <w:sz w:val="24"/>
                <w:szCs w:val="24"/>
              </w:rPr>
              <w:t>į tai, kad Pirkimo sąlygų 3.6 punkte Perkančioji organizacija nustatė reikalavimą tiekėjams būti atestuotiems statinių kategorijoje –</w:t>
            </w:r>
            <w:r w:rsidR="0082578B" w:rsidRPr="00950D7E">
              <w:rPr>
                <w:rFonts w:ascii="Times New Roman" w:hAnsi="Times New Roman"/>
                <w:bCs/>
                <w:sz w:val="24"/>
                <w:szCs w:val="24"/>
              </w:rPr>
              <w:t xml:space="preserve"> keliai </w:t>
            </w:r>
            <w:r w:rsidR="0082578B" w:rsidRPr="002F264B">
              <w:rPr>
                <w:rFonts w:ascii="Times New Roman" w:hAnsi="Times New Roman"/>
                <w:bCs/>
                <w:sz w:val="24"/>
                <w:szCs w:val="24"/>
              </w:rPr>
              <w:t>(gatvės), t.</w:t>
            </w:r>
            <w:r w:rsidR="0082578B" w:rsidRPr="00A933E8">
              <w:rPr>
                <w:rFonts w:ascii="Times New Roman" w:hAnsi="Times New Roman"/>
                <w:bCs/>
                <w:sz w:val="24"/>
                <w:szCs w:val="24"/>
              </w:rPr>
              <w:t xml:space="preserve"> y</w:t>
            </w:r>
            <w:r w:rsidR="0082578B" w:rsidRPr="00AB646D">
              <w:rPr>
                <w:rFonts w:ascii="Times New Roman" w:hAnsi="Times New Roman"/>
                <w:bCs/>
                <w:sz w:val="24"/>
                <w:szCs w:val="24"/>
              </w:rPr>
              <w:t>.</w:t>
            </w:r>
            <w:r w:rsidR="0082578B" w:rsidRPr="009A354D">
              <w:rPr>
                <w:rFonts w:ascii="Times New Roman" w:hAnsi="Times New Roman"/>
                <w:bCs/>
                <w:sz w:val="24"/>
                <w:szCs w:val="24"/>
              </w:rPr>
              <w:t xml:space="preserve"> k</w:t>
            </w:r>
            <w:r w:rsidR="0082578B" w:rsidRPr="009357E6">
              <w:rPr>
                <w:rFonts w:ascii="Times New Roman" w:hAnsi="Times New Roman"/>
                <w:bCs/>
                <w:sz w:val="24"/>
                <w:szCs w:val="24"/>
              </w:rPr>
              <w:t>ompetentingos institucijos tiekėjui turi būti suteikta teisė vykdyti darbus šioje statinių grupėje, Perkančio</w:t>
            </w:r>
            <w:r w:rsidR="005054B1" w:rsidRPr="00AF7CC6">
              <w:rPr>
                <w:rFonts w:ascii="Times New Roman" w:hAnsi="Times New Roman"/>
                <w:bCs/>
                <w:sz w:val="24"/>
                <w:szCs w:val="24"/>
              </w:rPr>
              <w:t>sios organizacij</w:t>
            </w:r>
            <w:r w:rsidR="005054B1" w:rsidRPr="00507A49">
              <w:rPr>
                <w:rFonts w:ascii="Times New Roman" w:hAnsi="Times New Roman"/>
                <w:bCs/>
                <w:sz w:val="24"/>
                <w:szCs w:val="24"/>
              </w:rPr>
              <w:t xml:space="preserve">os </w:t>
            </w:r>
            <w:r w:rsidR="005054B1" w:rsidRPr="008F0869">
              <w:rPr>
                <w:rFonts w:ascii="Times New Roman" w:hAnsi="Times New Roman"/>
                <w:bCs/>
                <w:sz w:val="24"/>
                <w:szCs w:val="24"/>
              </w:rPr>
              <w:t xml:space="preserve">tiekėjams </w:t>
            </w:r>
            <w:r w:rsidR="005054B1" w:rsidRPr="00E4449E">
              <w:rPr>
                <w:rFonts w:ascii="Times New Roman" w:hAnsi="Times New Roman"/>
                <w:bCs/>
                <w:sz w:val="24"/>
                <w:szCs w:val="24"/>
              </w:rPr>
              <w:t xml:space="preserve">nustatytas </w:t>
            </w:r>
            <w:r w:rsidR="005054B1" w:rsidRPr="00D516D3">
              <w:rPr>
                <w:rFonts w:ascii="Times New Roman" w:hAnsi="Times New Roman"/>
                <w:bCs/>
                <w:sz w:val="24"/>
                <w:szCs w:val="24"/>
              </w:rPr>
              <w:t xml:space="preserve">reikalavimas būti įvykdžiusiam sutartį Pirkimo objektui </w:t>
            </w:r>
            <w:r w:rsidR="00FB665A">
              <w:rPr>
                <w:rFonts w:ascii="Times New Roman" w:hAnsi="Times New Roman"/>
                <w:bCs/>
                <w:sz w:val="24"/>
                <w:szCs w:val="24"/>
              </w:rPr>
              <w:t>identiškoje</w:t>
            </w:r>
            <w:r w:rsidR="005054B1" w:rsidRPr="00FB665A">
              <w:rPr>
                <w:rFonts w:ascii="Times New Roman" w:hAnsi="Times New Roman"/>
                <w:bCs/>
                <w:sz w:val="24"/>
                <w:szCs w:val="24"/>
              </w:rPr>
              <w:t xml:space="preserve"> statinių grupėje riboja potencialių, reikiam</w:t>
            </w:r>
            <w:r w:rsidR="00885655">
              <w:rPr>
                <w:rFonts w:ascii="Times New Roman" w:hAnsi="Times New Roman"/>
                <w:bCs/>
                <w:sz w:val="24"/>
                <w:szCs w:val="24"/>
              </w:rPr>
              <w:t>ą</w:t>
            </w:r>
            <w:r w:rsidR="005054B1" w:rsidRPr="00FB665A">
              <w:rPr>
                <w:rFonts w:ascii="Times New Roman" w:hAnsi="Times New Roman"/>
                <w:bCs/>
                <w:sz w:val="24"/>
                <w:szCs w:val="24"/>
              </w:rPr>
              <w:t xml:space="preserve"> kompetenciją turinčių tiekėjų galimybę pateikti </w:t>
            </w:r>
            <w:r w:rsidR="00EF30EC" w:rsidRPr="00FB665A">
              <w:rPr>
                <w:rFonts w:ascii="Times New Roman" w:hAnsi="Times New Roman"/>
                <w:bCs/>
                <w:sz w:val="24"/>
                <w:szCs w:val="24"/>
              </w:rPr>
              <w:t>įrody</w:t>
            </w:r>
            <w:r w:rsidR="00FB665A">
              <w:rPr>
                <w:rFonts w:ascii="Times New Roman" w:hAnsi="Times New Roman"/>
                <w:bCs/>
                <w:sz w:val="24"/>
                <w:szCs w:val="24"/>
              </w:rPr>
              <w:t>mus dėl</w:t>
            </w:r>
            <w:r w:rsidR="00EF30EC" w:rsidRPr="00FB665A">
              <w:rPr>
                <w:rFonts w:ascii="Times New Roman" w:hAnsi="Times New Roman"/>
                <w:bCs/>
                <w:sz w:val="24"/>
                <w:szCs w:val="24"/>
              </w:rPr>
              <w:t xml:space="preserve"> </w:t>
            </w:r>
            <w:r w:rsidR="00FB665A">
              <w:rPr>
                <w:rFonts w:ascii="Times New Roman" w:hAnsi="Times New Roman"/>
                <w:bCs/>
                <w:sz w:val="24"/>
                <w:szCs w:val="24"/>
              </w:rPr>
              <w:t xml:space="preserve">turimos patirties </w:t>
            </w:r>
            <w:r w:rsidR="00885655">
              <w:rPr>
                <w:rFonts w:ascii="Times New Roman" w:hAnsi="Times New Roman"/>
                <w:bCs/>
                <w:sz w:val="24"/>
                <w:szCs w:val="24"/>
              </w:rPr>
              <w:t>panašios</w:t>
            </w:r>
            <w:r w:rsidR="002E7CF9">
              <w:rPr>
                <w:rFonts w:ascii="Times New Roman" w:hAnsi="Times New Roman"/>
                <w:bCs/>
                <w:sz w:val="24"/>
                <w:szCs w:val="24"/>
              </w:rPr>
              <w:t xml:space="preserve"> kategorijos </w:t>
            </w:r>
            <w:r w:rsidR="00FB665A">
              <w:rPr>
                <w:rFonts w:ascii="Times New Roman" w:hAnsi="Times New Roman"/>
                <w:bCs/>
                <w:sz w:val="24"/>
                <w:szCs w:val="24"/>
              </w:rPr>
              <w:t>kelių tiesimo darbuose</w:t>
            </w:r>
            <w:r w:rsidR="00EF30EC" w:rsidRPr="00FB665A">
              <w:rPr>
                <w:rFonts w:ascii="Times New Roman" w:hAnsi="Times New Roman"/>
                <w:bCs/>
                <w:sz w:val="24"/>
                <w:szCs w:val="24"/>
              </w:rPr>
              <w:t xml:space="preserve"> ir pateikti </w:t>
            </w:r>
            <w:r w:rsidR="005054B1" w:rsidRPr="00FB665A">
              <w:rPr>
                <w:rFonts w:ascii="Times New Roman" w:hAnsi="Times New Roman"/>
                <w:bCs/>
                <w:sz w:val="24"/>
                <w:szCs w:val="24"/>
              </w:rPr>
              <w:t>pasiūlymus.</w:t>
            </w:r>
            <w:r w:rsidR="007A287E" w:rsidRPr="00FB665A">
              <w:rPr>
                <w:rFonts w:ascii="Times New Roman" w:hAnsi="Times New Roman"/>
                <w:bCs/>
                <w:sz w:val="24"/>
                <w:szCs w:val="24"/>
              </w:rPr>
              <w:t xml:space="preserve"> </w:t>
            </w:r>
            <w:r w:rsidR="00FB665A">
              <w:rPr>
                <w:rFonts w:ascii="Times New Roman" w:eastAsia="Times New Roman" w:hAnsi="Times New Roman"/>
                <w:color w:val="000000"/>
                <w:sz w:val="24"/>
                <w:szCs w:val="24"/>
                <w:lang w:eastAsia="lt-LT"/>
              </w:rPr>
              <w:t>Kadangi Perkančioji organizacija turi nustatyti minimalius kvalifikacijos reikalavimus, o ne identiškus perkamam objektui,</w:t>
            </w:r>
            <w:r w:rsidR="00FB665A" w:rsidRPr="00FB665A">
              <w:rPr>
                <w:rFonts w:ascii="Times New Roman" w:hAnsi="Times New Roman"/>
                <w:bCs/>
                <w:sz w:val="24"/>
                <w:szCs w:val="24"/>
              </w:rPr>
              <w:t xml:space="preserve"> </w:t>
            </w:r>
            <w:r w:rsidR="007A287E" w:rsidRPr="00FB665A">
              <w:rPr>
                <w:rFonts w:ascii="Times New Roman" w:hAnsi="Times New Roman"/>
                <w:bCs/>
                <w:sz w:val="24"/>
                <w:szCs w:val="24"/>
              </w:rPr>
              <w:t xml:space="preserve">Perkančioji organizacija </w:t>
            </w:r>
            <w:r w:rsidR="00EF30EC" w:rsidRPr="00FB665A">
              <w:rPr>
                <w:rFonts w:ascii="Times New Roman" w:hAnsi="Times New Roman"/>
                <w:bCs/>
                <w:sz w:val="24"/>
                <w:szCs w:val="24"/>
              </w:rPr>
              <w:t>turėtų pripažinti tiekėjų patirtį įgytą ir statinių grupėje keliai (kaip tai nurodyta Statybos techninio reglamento STR 1.01.03:2017 „Statinių klasifikavimas“</w:t>
            </w:r>
            <w:r w:rsidR="002E7CF9">
              <w:rPr>
                <w:rFonts w:ascii="Times New Roman" w:hAnsi="Times New Roman"/>
                <w:bCs/>
                <w:sz w:val="24"/>
                <w:szCs w:val="24"/>
              </w:rPr>
              <w:t>,</w:t>
            </w:r>
            <w:r w:rsidR="00EF30EC" w:rsidRPr="00FB665A">
              <w:rPr>
                <w:rFonts w:ascii="Times New Roman" w:hAnsi="Times New Roman"/>
                <w:bCs/>
                <w:sz w:val="24"/>
                <w:szCs w:val="24"/>
              </w:rPr>
              <w:t xml:space="preserve"> patvirtinto </w:t>
            </w:r>
            <w:r w:rsidR="00EF30EC" w:rsidRPr="00FB665A">
              <w:rPr>
                <w:rFonts w:ascii="Times New Roman" w:eastAsia="Times New Roman" w:hAnsi="Times New Roman"/>
                <w:color w:val="000000"/>
                <w:sz w:val="24"/>
                <w:szCs w:val="24"/>
                <w:lang w:eastAsia="lt-LT"/>
              </w:rPr>
              <w:t>Lietuvos Respublikos aplinkos ministro 2016 m. spalio 27 d. įsakymu Nr. D1 –713, 8.1 punkte)</w:t>
            </w:r>
            <w:r w:rsidR="00FB665A">
              <w:rPr>
                <w:rFonts w:ascii="Times New Roman" w:eastAsia="Times New Roman" w:hAnsi="Times New Roman"/>
                <w:color w:val="000000"/>
                <w:sz w:val="24"/>
                <w:szCs w:val="24"/>
                <w:lang w:eastAsia="lt-LT"/>
              </w:rPr>
              <w:t xml:space="preserve">. </w:t>
            </w:r>
          </w:p>
          <w:p w14:paraId="7E3D84FF" w14:textId="77777777" w:rsidR="00B92F67" w:rsidRPr="008B62D7" w:rsidRDefault="002A79D1" w:rsidP="008B62D7">
            <w:pPr>
              <w:suppressAutoHyphens/>
              <w:spacing w:after="0" w:line="240" w:lineRule="auto"/>
              <w:ind w:firstLine="567"/>
              <w:jc w:val="both"/>
              <w:rPr>
                <w:rFonts w:ascii="Times New Roman" w:hAnsi="Times New Roman"/>
                <w:bCs/>
                <w:sz w:val="24"/>
                <w:szCs w:val="24"/>
              </w:rPr>
            </w:pPr>
            <w:r w:rsidRPr="00D516D3">
              <w:rPr>
                <w:rFonts w:ascii="Times New Roman" w:hAnsi="Times New Roman"/>
                <w:bCs/>
                <w:sz w:val="24"/>
                <w:szCs w:val="24"/>
              </w:rPr>
              <w:t>3</w:t>
            </w:r>
            <w:r w:rsidR="00B92F67" w:rsidRPr="00D516D3">
              <w:rPr>
                <w:rFonts w:ascii="Times New Roman" w:hAnsi="Times New Roman"/>
                <w:bCs/>
                <w:sz w:val="24"/>
                <w:szCs w:val="24"/>
              </w:rPr>
              <w:t xml:space="preserve">. Perkančioji organizacija </w:t>
            </w:r>
            <w:r w:rsidR="00C75A7E">
              <w:rPr>
                <w:rFonts w:ascii="Times New Roman" w:hAnsi="Times New Roman"/>
                <w:bCs/>
                <w:sz w:val="24"/>
                <w:szCs w:val="24"/>
              </w:rPr>
              <w:t xml:space="preserve"> įvykdytai </w:t>
            </w:r>
            <w:r w:rsidR="00B92F67" w:rsidRPr="00D516D3">
              <w:rPr>
                <w:rFonts w:ascii="Times New Roman" w:hAnsi="Times New Roman"/>
                <w:bCs/>
                <w:sz w:val="24"/>
                <w:szCs w:val="24"/>
              </w:rPr>
              <w:t>darbų sutarčiai</w:t>
            </w:r>
            <w:r w:rsidR="002E7CF9">
              <w:rPr>
                <w:rFonts w:ascii="Times New Roman" w:hAnsi="Times New Roman"/>
                <w:bCs/>
                <w:sz w:val="24"/>
                <w:szCs w:val="24"/>
              </w:rPr>
              <w:t>,</w:t>
            </w:r>
            <w:r w:rsidR="002E7CF9" w:rsidRPr="00D516D3">
              <w:rPr>
                <w:rFonts w:ascii="Times New Roman" w:hAnsi="Times New Roman"/>
                <w:bCs/>
                <w:sz w:val="24"/>
                <w:szCs w:val="24"/>
              </w:rPr>
              <w:t xml:space="preserve"> </w:t>
            </w:r>
            <w:r w:rsidR="002E7CF9">
              <w:rPr>
                <w:rFonts w:ascii="Times New Roman" w:hAnsi="Times New Roman"/>
                <w:bCs/>
                <w:sz w:val="24"/>
                <w:szCs w:val="24"/>
              </w:rPr>
              <w:t>kur</w:t>
            </w:r>
            <w:r w:rsidR="00275A50">
              <w:rPr>
                <w:rFonts w:ascii="Times New Roman" w:hAnsi="Times New Roman"/>
                <w:bCs/>
                <w:sz w:val="24"/>
                <w:szCs w:val="24"/>
              </w:rPr>
              <w:t>i</w:t>
            </w:r>
            <w:r w:rsidR="002E7CF9">
              <w:rPr>
                <w:rFonts w:ascii="Times New Roman" w:hAnsi="Times New Roman"/>
                <w:bCs/>
                <w:sz w:val="24"/>
                <w:szCs w:val="24"/>
              </w:rPr>
              <w:t xml:space="preserve"> sudaro </w:t>
            </w:r>
            <w:r w:rsidR="002E7CF9" w:rsidRPr="00D516D3">
              <w:rPr>
                <w:rFonts w:ascii="Times New Roman" w:hAnsi="Times New Roman"/>
                <w:bCs/>
                <w:sz w:val="24"/>
                <w:szCs w:val="24"/>
              </w:rPr>
              <w:t>dal</w:t>
            </w:r>
            <w:r w:rsidR="002E7CF9">
              <w:rPr>
                <w:rFonts w:ascii="Times New Roman" w:hAnsi="Times New Roman"/>
                <w:bCs/>
                <w:sz w:val="24"/>
                <w:szCs w:val="24"/>
              </w:rPr>
              <w:t>į</w:t>
            </w:r>
            <w:r w:rsidR="002E7CF9" w:rsidRPr="00D516D3">
              <w:rPr>
                <w:rFonts w:ascii="Times New Roman" w:hAnsi="Times New Roman"/>
                <w:bCs/>
                <w:sz w:val="24"/>
                <w:szCs w:val="24"/>
              </w:rPr>
              <w:t xml:space="preserve"> tiekėjo apyvart</w:t>
            </w:r>
            <w:r w:rsidR="00C75A7E">
              <w:rPr>
                <w:rFonts w:ascii="Times New Roman" w:hAnsi="Times New Roman"/>
                <w:bCs/>
                <w:sz w:val="24"/>
                <w:szCs w:val="24"/>
              </w:rPr>
              <w:t>os</w:t>
            </w:r>
            <w:r w:rsidR="002E7CF9" w:rsidRPr="00D516D3">
              <w:rPr>
                <w:rFonts w:ascii="Times New Roman" w:hAnsi="Times New Roman"/>
                <w:bCs/>
                <w:sz w:val="24"/>
                <w:szCs w:val="24"/>
              </w:rPr>
              <w:t xml:space="preserve"> </w:t>
            </w:r>
            <w:r w:rsidR="005054B1" w:rsidRPr="00D516D3">
              <w:rPr>
                <w:rFonts w:ascii="Times New Roman" w:hAnsi="Times New Roman"/>
                <w:bCs/>
                <w:sz w:val="24"/>
                <w:szCs w:val="24"/>
              </w:rPr>
              <w:t>(Pirkimo sąlygų 3.9 punktas)</w:t>
            </w:r>
            <w:r w:rsidR="002E7CF9">
              <w:rPr>
                <w:rFonts w:ascii="Times New Roman" w:hAnsi="Times New Roman"/>
                <w:bCs/>
                <w:sz w:val="24"/>
                <w:szCs w:val="24"/>
              </w:rPr>
              <w:t>,</w:t>
            </w:r>
            <w:r w:rsidR="005054B1" w:rsidRPr="00D516D3">
              <w:rPr>
                <w:rFonts w:ascii="Times New Roman" w:hAnsi="Times New Roman"/>
                <w:bCs/>
                <w:sz w:val="24"/>
                <w:szCs w:val="24"/>
              </w:rPr>
              <w:t xml:space="preserve"> </w:t>
            </w:r>
            <w:r w:rsidR="00B92F67" w:rsidRPr="00D516D3">
              <w:rPr>
                <w:rFonts w:ascii="Times New Roman" w:hAnsi="Times New Roman"/>
                <w:bCs/>
                <w:sz w:val="24"/>
                <w:szCs w:val="24"/>
              </w:rPr>
              <w:t xml:space="preserve">kelia </w:t>
            </w:r>
            <w:r w:rsidR="005054B1" w:rsidRPr="00D516D3">
              <w:rPr>
                <w:rFonts w:ascii="Times New Roman" w:hAnsi="Times New Roman"/>
                <w:bCs/>
                <w:sz w:val="24"/>
                <w:szCs w:val="24"/>
              </w:rPr>
              <w:t xml:space="preserve">aukštesnius </w:t>
            </w:r>
            <w:r w:rsidR="00B92F67" w:rsidRPr="00D516D3">
              <w:rPr>
                <w:rFonts w:ascii="Times New Roman" w:hAnsi="Times New Roman"/>
                <w:bCs/>
                <w:sz w:val="24"/>
                <w:szCs w:val="24"/>
              </w:rPr>
              <w:t>reikalavimus, nei bendrai tiekėjo apyvartai</w:t>
            </w:r>
            <w:r w:rsidR="00B92F67" w:rsidRPr="008B62D7">
              <w:rPr>
                <w:rFonts w:ascii="Times New Roman" w:hAnsi="Times New Roman"/>
                <w:bCs/>
                <w:sz w:val="24"/>
                <w:szCs w:val="24"/>
              </w:rPr>
              <w:t xml:space="preserve"> (Skelbimo apie Pirkimą III.2.1 punkto 7 papunktyje ir Pirkimo sąlygų 3.7 punkte nustatytas reikalavimas, kad „Tiekėjo vidutinė metinė savo jėgomis atliktų statybos darbų apimtis per paskutinius 5 metus iki pasiūlymų pateikimo termino pabaigos &lt;...&gt; turi būti ne mažesnė kaip 2,3 mln. Eur su PVM“), į kurią įeina ir Pirkimo sąlygų 3.9 punkte nurodyta darbų sritis (ypatingų </w:t>
            </w:r>
            <w:r w:rsidR="00B92F67" w:rsidRPr="008B62D7">
              <w:rPr>
                <w:rFonts w:ascii="Times New Roman" w:hAnsi="Times New Roman"/>
                <w:bCs/>
                <w:sz w:val="24"/>
                <w:szCs w:val="24"/>
              </w:rPr>
              <w:lastRenderedPageBreak/>
              <w:t xml:space="preserve">statinių grupei priskiriamuose statiniuose: susisiekimo komunikacijos: keliai (gatvės)). Tai dirbtinai apriboja potencialių bei reikiamas kompetencijas turinčių tiekėjų galimybes pateikti pasiūlymus. </w:t>
            </w:r>
          </w:p>
          <w:p w14:paraId="19242FDD" w14:textId="77777777" w:rsidR="00465D54" w:rsidRPr="008B62D7" w:rsidRDefault="00B84937" w:rsidP="008B62D7">
            <w:pPr>
              <w:pStyle w:val="BodyTextIndent3"/>
              <w:spacing w:after="0" w:line="240" w:lineRule="auto"/>
              <w:ind w:left="0" w:firstLine="567"/>
              <w:jc w:val="both"/>
              <w:rPr>
                <w:rFonts w:ascii="Times New Roman" w:hAnsi="Times New Roman"/>
                <w:bCs/>
                <w:sz w:val="24"/>
                <w:szCs w:val="24"/>
              </w:rPr>
            </w:pPr>
            <w:r>
              <w:rPr>
                <w:rFonts w:ascii="Times New Roman" w:hAnsi="Times New Roman"/>
                <w:bCs/>
                <w:sz w:val="24"/>
                <w:szCs w:val="24"/>
              </w:rPr>
              <w:t>4</w:t>
            </w:r>
            <w:r w:rsidR="00C3248E" w:rsidRPr="008B62D7">
              <w:rPr>
                <w:rFonts w:ascii="Times New Roman" w:hAnsi="Times New Roman"/>
                <w:bCs/>
                <w:sz w:val="24"/>
                <w:szCs w:val="24"/>
              </w:rPr>
              <w:t xml:space="preserve">. </w:t>
            </w:r>
            <w:r w:rsidR="00C3059E" w:rsidRPr="008B62D7">
              <w:rPr>
                <w:rFonts w:ascii="Times New Roman" w:hAnsi="Times New Roman"/>
                <w:sz w:val="24"/>
                <w:szCs w:val="24"/>
              </w:rPr>
              <w:t>T</w:t>
            </w:r>
            <w:r w:rsidR="00C3248E" w:rsidRPr="008B62D7">
              <w:rPr>
                <w:rFonts w:ascii="Times New Roman" w:hAnsi="Times New Roman"/>
                <w:sz w:val="24"/>
                <w:szCs w:val="24"/>
              </w:rPr>
              <w:t>iekėjai gali turėti patirties rekonstruojant daugybę kelio ruožų pagal atskiras sutartis, bet nepaisant to, kad jie turėjo analogiškos patirties remontuojant (rekonstruojant) kelio ruožus ir rengiant jų techninius ir techninius darbo projektus pagal atskiras sutartis ir pavyzdžiui, įvykdytų sutarčių suma</w:t>
            </w:r>
            <w:r w:rsidR="00C3059E" w:rsidRPr="008B62D7">
              <w:rPr>
                <w:rFonts w:ascii="Times New Roman" w:hAnsi="Times New Roman"/>
                <w:sz w:val="24"/>
                <w:szCs w:val="24"/>
              </w:rPr>
              <w:t xml:space="preserve"> ar bendras (pagal kelias sutartis) remontuojamų kelio atkarpų ilgis, pagal kelias sutartis </w:t>
            </w:r>
            <w:r w:rsidR="00C3248E" w:rsidRPr="008B62D7">
              <w:rPr>
                <w:rFonts w:ascii="Times New Roman" w:hAnsi="Times New Roman"/>
                <w:sz w:val="24"/>
                <w:szCs w:val="24"/>
              </w:rPr>
              <w:t xml:space="preserve"> netgi galėjo būti didesnė</w:t>
            </w:r>
            <w:r w:rsidR="00123286">
              <w:rPr>
                <w:rFonts w:ascii="Times New Roman" w:hAnsi="Times New Roman"/>
                <w:sz w:val="24"/>
                <w:szCs w:val="24"/>
              </w:rPr>
              <w:t>,</w:t>
            </w:r>
            <w:r w:rsidR="00C3248E" w:rsidRPr="008B62D7">
              <w:rPr>
                <w:rFonts w:ascii="Times New Roman" w:hAnsi="Times New Roman"/>
                <w:sz w:val="24"/>
                <w:szCs w:val="24"/>
              </w:rPr>
              <w:t xml:space="preserve"> nei nustatyta Pirkimo sąlygų 3.9 punkte, tačiau tokiu atveju jie negali dalyvauti Pirkime, kadangi būtų neatitikę šio kvalifikacijos reikalavimo. Tokiu būdu</w:t>
            </w:r>
            <w:r w:rsidR="00123286">
              <w:rPr>
                <w:rFonts w:ascii="Times New Roman" w:hAnsi="Times New Roman"/>
                <w:sz w:val="24"/>
                <w:szCs w:val="24"/>
              </w:rPr>
              <w:t>,</w:t>
            </w:r>
            <w:r w:rsidR="00C3248E" w:rsidRPr="008B62D7">
              <w:rPr>
                <w:rFonts w:ascii="Times New Roman" w:hAnsi="Times New Roman"/>
                <w:sz w:val="24"/>
                <w:szCs w:val="24"/>
              </w:rPr>
              <w:t xml:space="preserve"> reikalavimas tiekėjui būti įvykdžiusiam vieną sutartį</w:t>
            </w:r>
            <w:r w:rsidR="00123286">
              <w:rPr>
                <w:rFonts w:ascii="Times New Roman" w:hAnsi="Times New Roman"/>
                <w:sz w:val="24"/>
                <w:szCs w:val="24"/>
              </w:rPr>
              <w:t xml:space="preserve"> nėra pagrįstas</w:t>
            </w:r>
            <w:r w:rsidR="00C3248E" w:rsidRPr="008B62D7">
              <w:rPr>
                <w:rFonts w:ascii="Times New Roman" w:hAnsi="Times New Roman"/>
                <w:sz w:val="24"/>
                <w:szCs w:val="24"/>
              </w:rPr>
              <w:t>, nustatytas, neatsižvelgus į tai, kad pirkimo objekto vertė didelė tik dėl jo apimties, taip pat neatsižvelg</w:t>
            </w:r>
            <w:r w:rsidR="00123286">
              <w:rPr>
                <w:rFonts w:ascii="Times New Roman" w:hAnsi="Times New Roman"/>
                <w:sz w:val="24"/>
                <w:szCs w:val="24"/>
              </w:rPr>
              <w:t xml:space="preserve">iant </w:t>
            </w:r>
            <w:r w:rsidR="00C3248E" w:rsidRPr="008B62D7">
              <w:rPr>
                <w:rFonts w:ascii="Times New Roman" w:hAnsi="Times New Roman"/>
                <w:sz w:val="24"/>
                <w:szCs w:val="24"/>
              </w:rPr>
              <w:t>į tai, jog tiekėjo</w:t>
            </w:r>
            <w:r w:rsidR="00123286">
              <w:rPr>
                <w:rFonts w:ascii="Times New Roman" w:hAnsi="Times New Roman"/>
                <w:sz w:val="24"/>
                <w:szCs w:val="24"/>
              </w:rPr>
              <w:t>,</w:t>
            </w:r>
            <w:r w:rsidR="00C3248E" w:rsidRPr="008B62D7">
              <w:rPr>
                <w:rFonts w:ascii="Times New Roman" w:hAnsi="Times New Roman"/>
                <w:sz w:val="24"/>
                <w:szCs w:val="24"/>
              </w:rPr>
              <w:t xml:space="preserve"> įvykdžiusio daugiau sutarčių, bet mažesnės vertės nei reikalaujama, kvalifikacija nelaikytina mažesne. </w:t>
            </w:r>
          </w:p>
          <w:p w14:paraId="1C4CE344" w14:textId="77777777" w:rsidR="00FE08EC" w:rsidRDefault="00FE08EC" w:rsidP="008B62D7">
            <w:pPr>
              <w:tabs>
                <w:tab w:val="left" w:pos="284"/>
              </w:tabs>
              <w:spacing w:after="0" w:line="240" w:lineRule="auto"/>
              <w:ind w:firstLine="567"/>
              <w:jc w:val="both"/>
              <w:rPr>
                <w:rFonts w:ascii="Times New Roman" w:hAnsi="Times New Roman"/>
                <w:bCs/>
                <w:sz w:val="24"/>
                <w:szCs w:val="24"/>
              </w:rPr>
            </w:pPr>
            <w:r w:rsidRPr="008B62D7">
              <w:rPr>
                <w:rFonts w:ascii="Times New Roman" w:hAnsi="Times New Roman"/>
                <w:bCs/>
                <w:sz w:val="24"/>
                <w:szCs w:val="24"/>
              </w:rPr>
              <w:t>Nors Pirkimo objektas yra didelės apimties bei vertės, tačiau nėra išskirtinis ar pasižymintis ypatinga darbų atlikimo specifika. Tarnybos nuomone, tiekėjai</w:t>
            </w:r>
            <w:r w:rsidR="00123286">
              <w:rPr>
                <w:rFonts w:ascii="Times New Roman" w:hAnsi="Times New Roman"/>
                <w:bCs/>
                <w:sz w:val="24"/>
                <w:szCs w:val="24"/>
              </w:rPr>
              <w:t>,</w:t>
            </w:r>
            <w:r w:rsidRPr="008B62D7">
              <w:rPr>
                <w:rFonts w:ascii="Times New Roman" w:hAnsi="Times New Roman"/>
                <w:bCs/>
                <w:sz w:val="24"/>
                <w:szCs w:val="24"/>
              </w:rPr>
              <w:t xml:space="preserve"> atskirai įvykdę darbų/paslaugų sutartis ir turintys reikalaujamą patirtį, taip pat būtų pajėgūs ir kompetentingi tinkamai vykdyti Pirkimo sutartį</w:t>
            </w:r>
            <w:r w:rsidR="00123286">
              <w:rPr>
                <w:rFonts w:ascii="Times New Roman" w:hAnsi="Times New Roman"/>
                <w:bCs/>
                <w:sz w:val="24"/>
                <w:szCs w:val="24"/>
              </w:rPr>
              <w:t>, t</w:t>
            </w:r>
            <w:r w:rsidRPr="008B62D7">
              <w:rPr>
                <w:rFonts w:ascii="Times New Roman" w:hAnsi="Times New Roman"/>
                <w:bCs/>
                <w:sz w:val="24"/>
                <w:szCs w:val="24"/>
              </w:rPr>
              <w:t>ačiau apjungdama skirtingas Pirkimo objekto rū</w:t>
            </w:r>
            <w:r w:rsidR="00123286">
              <w:rPr>
                <w:rFonts w:ascii="Times New Roman" w:hAnsi="Times New Roman"/>
                <w:bCs/>
                <w:sz w:val="24"/>
                <w:szCs w:val="24"/>
              </w:rPr>
              <w:t>šis ir</w:t>
            </w:r>
            <w:r w:rsidRPr="008B62D7">
              <w:rPr>
                <w:rFonts w:ascii="Times New Roman" w:hAnsi="Times New Roman"/>
                <w:bCs/>
                <w:sz w:val="24"/>
                <w:szCs w:val="24"/>
              </w:rPr>
              <w:t xml:space="preserve"> nustatydama nepagrįstai aukštus ir neproporcingus tiekėjų kvalifikacijos reikalavimus,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Pr="008B62D7">
              <w:rPr>
                <w:rFonts w:ascii="Times New Roman" w:hAnsi="Times New Roman"/>
                <w:bCs/>
                <w:sz w:val="24"/>
                <w:szCs w:val="24"/>
              </w:rPr>
              <w:t>organizacija varžo bei dirbtinai riboja tiekėjų konkurenciją, eliminuoja rinkos dalyvius, tuo sudarydama sąlygas pasiūlymus pateikti tik stambiems ūkio subjektams, kas neišvengiamai gali nulemti didesnes pasiūlymo kainas. Tokiu būdu Perkančioji organizacija nesiekia užtikrinti racionalaus lėšų naudojimo.</w:t>
            </w:r>
          </w:p>
          <w:p w14:paraId="4CB76119" w14:textId="77777777" w:rsidR="00B84937" w:rsidRPr="008B62D7" w:rsidRDefault="00B84937" w:rsidP="00B84937">
            <w:pPr>
              <w:pStyle w:val="ListParagraph"/>
              <w:tabs>
                <w:tab w:val="left" w:pos="567"/>
              </w:tabs>
              <w:spacing w:after="0" w:line="240" w:lineRule="auto"/>
              <w:ind w:left="0" w:firstLine="567"/>
              <w:jc w:val="both"/>
              <w:rPr>
                <w:rFonts w:ascii="Times New Roman" w:hAnsi="Times New Roman"/>
                <w:bCs/>
                <w:sz w:val="24"/>
                <w:szCs w:val="24"/>
              </w:rPr>
            </w:pPr>
            <w:r>
              <w:rPr>
                <w:rFonts w:ascii="Times New Roman" w:hAnsi="Times New Roman"/>
                <w:bCs/>
                <w:sz w:val="24"/>
                <w:szCs w:val="24"/>
              </w:rPr>
              <w:t>Pažymėtina ir tai, kad</w:t>
            </w:r>
            <w:r w:rsidRPr="008B62D7">
              <w:rPr>
                <w:rFonts w:ascii="Times New Roman" w:hAnsi="Times New Roman"/>
                <w:bCs/>
                <w:sz w:val="24"/>
                <w:szCs w:val="24"/>
              </w:rPr>
              <w:t xml:space="preserve"> Tiekėjų kvalifikacijos vertinimo metodinių rekomendacijų, patvirtintų Tarnybos direktoriaus 2003-10-20 įsakymu Nr. 1S-100 (galiojusių Pirkimo paskelbimo metu), 25 punkte perkančiajai organizacijai siekiant įsitikinti tiekėjo kvalifikacija rekomenduo</w:t>
            </w:r>
            <w:r>
              <w:rPr>
                <w:rFonts w:ascii="Times New Roman" w:hAnsi="Times New Roman"/>
                <w:bCs/>
                <w:sz w:val="24"/>
                <w:szCs w:val="24"/>
              </w:rPr>
              <w:t>j</w:t>
            </w:r>
            <w:r w:rsidRPr="008B62D7">
              <w:rPr>
                <w:rFonts w:ascii="Times New Roman" w:hAnsi="Times New Roman"/>
                <w:bCs/>
                <w:sz w:val="24"/>
                <w:szCs w:val="24"/>
              </w:rPr>
              <w:t>ama, vietoje įvykdytų panašių sutarčių, prašyti tiekėjų pateikti duomen</w:t>
            </w:r>
            <w:r>
              <w:rPr>
                <w:rFonts w:ascii="Times New Roman" w:hAnsi="Times New Roman"/>
                <w:bCs/>
                <w:sz w:val="24"/>
                <w:szCs w:val="24"/>
              </w:rPr>
              <w:t>i</w:t>
            </w:r>
            <w:r w:rsidRPr="008B62D7">
              <w:rPr>
                <w:rFonts w:ascii="Times New Roman" w:hAnsi="Times New Roman"/>
                <w:bCs/>
                <w:sz w:val="24"/>
                <w:szCs w:val="24"/>
              </w:rPr>
              <w:t>s tik apie per pastaruosius 5 metus vidutin</w:t>
            </w:r>
            <w:r>
              <w:rPr>
                <w:rFonts w:ascii="Times New Roman" w:hAnsi="Times New Roman"/>
                <w:bCs/>
                <w:sz w:val="24"/>
                <w:szCs w:val="24"/>
              </w:rPr>
              <w:t>es</w:t>
            </w:r>
            <w:r w:rsidRPr="008B62D7">
              <w:rPr>
                <w:rFonts w:ascii="Times New Roman" w:hAnsi="Times New Roman"/>
                <w:bCs/>
                <w:sz w:val="24"/>
                <w:szCs w:val="24"/>
              </w:rPr>
              <w:t xml:space="preserve"> metin</w:t>
            </w:r>
            <w:r>
              <w:rPr>
                <w:rFonts w:ascii="Times New Roman" w:hAnsi="Times New Roman"/>
                <w:bCs/>
                <w:sz w:val="24"/>
                <w:szCs w:val="24"/>
              </w:rPr>
              <w:t>es</w:t>
            </w:r>
            <w:r w:rsidRPr="008B62D7">
              <w:rPr>
                <w:rFonts w:ascii="Times New Roman" w:hAnsi="Times New Roman"/>
                <w:bCs/>
                <w:sz w:val="24"/>
                <w:szCs w:val="24"/>
              </w:rPr>
              <w:t xml:space="preserve"> svarbiausių statybos darbų apimt</w:t>
            </w:r>
            <w:r w:rsidR="00685B24">
              <w:rPr>
                <w:rFonts w:ascii="Times New Roman" w:hAnsi="Times New Roman"/>
                <w:bCs/>
                <w:sz w:val="24"/>
                <w:szCs w:val="24"/>
              </w:rPr>
              <w:t>i</w:t>
            </w:r>
            <w:r w:rsidRPr="008B62D7">
              <w:rPr>
                <w:rFonts w:ascii="Times New Roman" w:hAnsi="Times New Roman"/>
                <w:bCs/>
                <w:sz w:val="24"/>
                <w:szCs w:val="24"/>
              </w:rPr>
              <w:t>s, ir numatyti reikšmę – ne mažesnė</w:t>
            </w:r>
            <w:r>
              <w:rPr>
                <w:rFonts w:ascii="Times New Roman" w:hAnsi="Times New Roman"/>
                <w:bCs/>
                <w:sz w:val="24"/>
                <w:szCs w:val="24"/>
              </w:rPr>
              <w:t>s</w:t>
            </w:r>
            <w:r w:rsidRPr="008B62D7">
              <w:rPr>
                <w:rFonts w:ascii="Times New Roman" w:hAnsi="Times New Roman"/>
                <w:bCs/>
                <w:sz w:val="24"/>
                <w:szCs w:val="24"/>
              </w:rPr>
              <w:t xml:space="preserve"> kaip pusė perkamų darbų (pasiūlymo) vertė</w:t>
            </w:r>
            <w:r>
              <w:rPr>
                <w:rFonts w:ascii="Times New Roman" w:hAnsi="Times New Roman"/>
                <w:bCs/>
                <w:sz w:val="24"/>
                <w:szCs w:val="24"/>
              </w:rPr>
              <w:t>s</w:t>
            </w:r>
            <w:r w:rsidRPr="008B62D7">
              <w:rPr>
                <w:rFonts w:ascii="Times New Roman" w:hAnsi="Times New Roman"/>
                <w:bCs/>
                <w:sz w:val="24"/>
                <w:szCs w:val="24"/>
              </w:rPr>
              <w:t>, todėl reikalavimas pateikti duomenis ir apie metinę statybos darbų vidutinę apimtį</w:t>
            </w:r>
            <w:r w:rsidR="00EA3E73">
              <w:rPr>
                <w:rFonts w:ascii="Times New Roman" w:hAnsi="Times New Roman"/>
                <w:bCs/>
                <w:sz w:val="24"/>
                <w:szCs w:val="24"/>
              </w:rPr>
              <w:t xml:space="preserve"> (Pirkimo sąlygų 3.7 punktas)</w:t>
            </w:r>
            <w:r w:rsidRPr="008B62D7">
              <w:rPr>
                <w:rFonts w:ascii="Times New Roman" w:hAnsi="Times New Roman"/>
                <w:bCs/>
                <w:sz w:val="24"/>
                <w:szCs w:val="24"/>
              </w:rPr>
              <w:t xml:space="preserve"> ir papildomai duomenis apie įvykdytą sutartį </w:t>
            </w:r>
            <w:r w:rsidR="00EA3E73">
              <w:rPr>
                <w:rFonts w:ascii="Times New Roman" w:hAnsi="Times New Roman"/>
                <w:bCs/>
                <w:sz w:val="24"/>
                <w:szCs w:val="24"/>
              </w:rPr>
              <w:t xml:space="preserve">(Pirkimo sąlygų 3.9 punktas) taikant kartu </w:t>
            </w:r>
            <w:r w:rsidRPr="008B62D7">
              <w:rPr>
                <w:rFonts w:ascii="Times New Roman" w:hAnsi="Times New Roman"/>
                <w:bCs/>
                <w:sz w:val="24"/>
                <w:szCs w:val="24"/>
              </w:rPr>
              <w:t>laikytini pertekliniais</w:t>
            </w:r>
            <w:r>
              <w:rPr>
                <w:rFonts w:ascii="Times New Roman" w:hAnsi="Times New Roman"/>
                <w:bCs/>
                <w:sz w:val="24"/>
                <w:szCs w:val="24"/>
              </w:rPr>
              <w:t>.</w:t>
            </w:r>
            <w:r w:rsidRPr="008B62D7">
              <w:rPr>
                <w:rFonts w:ascii="Times New Roman" w:hAnsi="Times New Roman"/>
                <w:bCs/>
                <w:sz w:val="24"/>
                <w:szCs w:val="24"/>
              </w:rPr>
              <w:t xml:space="preserve"> </w:t>
            </w:r>
          </w:p>
          <w:p w14:paraId="3214DB2B" w14:textId="77777777" w:rsidR="00C04833" w:rsidRPr="008B62D7" w:rsidRDefault="00FE08EC" w:rsidP="00C06F9A">
            <w:pPr>
              <w:pStyle w:val="ListParagraph"/>
              <w:tabs>
                <w:tab w:val="left" w:pos="0"/>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 xml:space="preserve">Atsižvelgiant į išdėstytą, Tarnyba konstatuoja, kad Skelbimo apie Pirkimą III.2.1 punkto 9 papunktyje ir Pirkimo sąlygų 3.9 punkte nustatytas kvalifikacijos reikalavimas yra neproporcingas Pirkimo objektui, dirbtinai riboja konkurenciją bei atima galimybę Pirkime dalyvauti sutartį gebantiems įvykdyti tiekėjams. Tarnyba pažymi, kad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Pr="008B62D7">
              <w:rPr>
                <w:rFonts w:ascii="Times New Roman" w:hAnsi="Times New Roman"/>
                <w:bCs/>
                <w:sz w:val="24"/>
                <w:szCs w:val="24"/>
              </w:rPr>
              <w:t>organizacija turi įsitikinti tiekėjų kompetentingumu, patikimumu ir pajėgumu, tačiau minėta perkančiųjų organizacijų pareiga apribota Įstatymo 32 straipsnio 2 dalyje nustatytais pagrindais, jog nustatyti minimalūs kandidatų ar dalyvių kvalifikacijos reikalavimai negali dirbtinai riboti konkurencijos, jie turi būti pagrįsti ir proporcingi pirkimo objektui, &lt;...&gt;“</w:t>
            </w:r>
            <w:r w:rsidR="005054B1">
              <w:rPr>
                <w:rFonts w:ascii="Times New Roman" w:hAnsi="Times New Roman"/>
                <w:bCs/>
                <w:sz w:val="24"/>
                <w:szCs w:val="24"/>
              </w:rPr>
              <w:t>,</w:t>
            </w:r>
            <w:r w:rsidRPr="008B62D7">
              <w:rPr>
                <w:rFonts w:ascii="Times New Roman" w:hAnsi="Times New Roman"/>
                <w:bCs/>
                <w:sz w:val="24"/>
                <w:szCs w:val="24"/>
              </w:rPr>
              <w:t xml:space="preserve"> t. y. </w:t>
            </w:r>
            <w:r w:rsidR="00C06F9A">
              <w:rPr>
                <w:rFonts w:ascii="Times New Roman" w:hAnsi="Times New Roman"/>
                <w:bCs/>
                <w:sz w:val="24"/>
                <w:szCs w:val="24"/>
              </w:rPr>
              <w:t>P</w:t>
            </w:r>
            <w:r w:rsidR="00C06F9A" w:rsidRPr="008B62D7">
              <w:rPr>
                <w:rFonts w:ascii="Times New Roman" w:hAnsi="Times New Roman"/>
                <w:bCs/>
                <w:sz w:val="24"/>
                <w:szCs w:val="24"/>
              </w:rPr>
              <w:t xml:space="preserve">erkančioji </w:t>
            </w:r>
            <w:r w:rsidRPr="008B62D7">
              <w:rPr>
                <w:rFonts w:ascii="Times New Roman" w:hAnsi="Times New Roman"/>
                <w:bCs/>
                <w:sz w:val="24"/>
                <w:szCs w:val="24"/>
              </w:rPr>
              <w:t xml:space="preserve">organizacija, turi nustatyti būtent </w:t>
            </w:r>
            <w:r w:rsidRPr="008B62D7">
              <w:rPr>
                <w:rFonts w:ascii="Times New Roman" w:hAnsi="Times New Roman"/>
                <w:bCs/>
                <w:sz w:val="24"/>
                <w:szCs w:val="24"/>
                <w:u w:val="single"/>
              </w:rPr>
              <w:t>minimalius kvalifikacijos reikalavimus</w:t>
            </w:r>
            <w:r w:rsidRPr="008B62D7">
              <w:rPr>
                <w:rFonts w:ascii="Times New Roman" w:hAnsi="Times New Roman"/>
                <w:bCs/>
                <w:sz w:val="24"/>
                <w:szCs w:val="24"/>
              </w:rPr>
              <w:t>, o ne specifinius ar išskirtinius reikalavimus.</w:t>
            </w:r>
          </w:p>
        </w:tc>
      </w:tr>
      <w:tr w:rsidR="00C61B83" w:rsidRPr="008B62D7" w14:paraId="08E3CC34" w14:textId="77777777" w:rsidTr="000A43BE">
        <w:tc>
          <w:tcPr>
            <w:tcW w:w="675" w:type="dxa"/>
            <w:tcBorders>
              <w:top w:val="single" w:sz="4" w:space="0" w:color="auto"/>
            </w:tcBorders>
            <w:shd w:val="clear" w:color="auto" w:fill="auto"/>
            <w:vAlign w:val="center"/>
          </w:tcPr>
          <w:p w14:paraId="6874B384" w14:textId="77777777" w:rsidR="00C61B83" w:rsidRPr="008B62D7" w:rsidRDefault="00C61B83"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tcBorders>
              <w:top w:val="single" w:sz="4" w:space="0" w:color="auto"/>
            </w:tcBorders>
            <w:shd w:val="clear" w:color="auto" w:fill="auto"/>
          </w:tcPr>
          <w:p w14:paraId="6017B767" w14:textId="77777777" w:rsidR="00C61B83" w:rsidRPr="008B62D7" w:rsidRDefault="00792160" w:rsidP="008B62D7">
            <w:pPr>
              <w:pStyle w:val="ListParagraph"/>
              <w:tabs>
                <w:tab w:val="left" w:pos="0"/>
                <w:tab w:val="left" w:pos="993"/>
                <w:tab w:val="left" w:pos="1276"/>
              </w:tabs>
              <w:spacing w:after="0" w:line="240" w:lineRule="auto"/>
              <w:ind w:left="0"/>
              <w:jc w:val="both"/>
              <w:rPr>
                <w:rFonts w:ascii="Times New Roman" w:hAnsi="Times New Roman"/>
                <w:bCs/>
                <w:sz w:val="24"/>
                <w:szCs w:val="24"/>
              </w:rPr>
            </w:pPr>
            <w:r w:rsidRPr="008B62D7">
              <w:rPr>
                <w:rFonts w:ascii="Times New Roman" w:hAnsi="Times New Roman"/>
                <w:sz w:val="24"/>
                <w:szCs w:val="24"/>
              </w:rPr>
              <w:t>Taisyklių  22.2</w:t>
            </w:r>
            <w:r w:rsidRPr="008B62D7">
              <w:rPr>
                <w:rStyle w:val="FootnoteReference"/>
                <w:rFonts w:ascii="Times New Roman" w:hAnsi="Times New Roman"/>
                <w:sz w:val="24"/>
                <w:szCs w:val="24"/>
              </w:rPr>
              <w:footnoteReference w:id="13"/>
            </w:r>
            <w:r w:rsidRPr="008B62D7">
              <w:rPr>
                <w:rFonts w:ascii="Times New Roman" w:hAnsi="Times New Roman"/>
                <w:sz w:val="24"/>
                <w:szCs w:val="24"/>
              </w:rPr>
              <w:t xml:space="preserve"> ir 22.9 punktas</w:t>
            </w:r>
            <w:r w:rsidRPr="008B62D7">
              <w:rPr>
                <w:rStyle w:val="FootnoteReference"/>
                <w:rFonts w:ascii="Times New Roman" w:hAnsi="Times New Roman"/>
                <w:sz w:val="24"/>
                <w:szCs w:val="24"/>
              </w:rPr>
              <w:footnoteReference w:id="14"/>
            </w:r>
            <w:r w:rsidRPr="008B62D7">
              <w:rPr>
                <w:rFonts w:ascii="Times New Roman" w:hAnsi="Times New Roman"/>
                <w:sz w:val="24"/>
                <w:szCs w:val="24"/>
              </w:rPr>
              <w:t>, Įstatymo 85 straipsnio 2 dalis</w:t>
            </w:r>
            <w:r w:rsidRPr="008B62D7">
              <w:rPr>
                <w:rStyle w:val="FootnoteReference"/>
                <w:rFonts w:ascii="Times New Roman" w:hAnsi="Times New Roman"/>
                <w:sz w:val="24"/>
                <w:szCs w:val="24"/>
              </w:rPr>
              <w:footnoteReference w:id="15"/>
            </w:r>
            <w:r w:rsidRPr="008B62D7">
              <w:rPr>
                <w:rFonts w:ascii="Times New Roman" w:hAnsi="Times New Roman"/>
                <w:sz w:val="24"/>
                <w:szCs w:val="24"/>
              </w:rPr>
              <w:t>, 87 straipsnio 1 dalis</w:t>
            </w:r>
            <w:r w:rsidRPr="008B62D7">
              <w:rPr>
                <w:rStyle w:val="FootnoteReference"/>
                <w:rFonts w:ascii="Times New Roman" w:hAnsi="Times New Roman"/>
                <w:sz w:val="24"/>
                <w:szCs w:val="24"/>
              </w:rPr>
              <w:footnoteReference w:id="16"/>
            </w:r>
            <w:r w:rsidRPr="008B62D7">
              <w:rPr>
                <w:rFonts w:ascii="Times New Roman" w:hAnsi="Times New Roman"/>
                <w:sz w:val="24"/>
                <w:szCs w:val="24"/>
              </w:rPr>
              <w:t>, 32 straipsnio 2 dalis</w:t>
            </w:r>
            <w:r w:rsidRPr="008B62D7">
              <w:rPr>
                <w:rStyle w:val="FootnoteReference"/>
                <w:rFonts w:ascii="Times New Roman" w:hAnsi="Times New Roman"/>
                <w:sz w:val="24"/>
                <w:szCs w:val="24"/>
              </w:rPr>
              <w:footnoteReference w:id="17"/>
            </w:r>
          </w:p>
        </w:tc>
      </w:tr>
      <w:tr w:rsidR="002F264B" w:rsidRPr="008B62D7" w14:paraId="2BF2D662" w14:textId="77777777" w:rsidTr="000124BB">
        <w:tc>
          <w:tcPr>
            <w:tcW w:w="9747" w:type="dxa"/>
            <w:gridSpan w:val="2"/>
            <w:tcBorders>
              <w:top w:val="single" w:sz="4" w:space="0" w:color="auto"/>
            </w:tcBorders>
            <w:shd w:val="clear" w:color="auto" w:fill="auto"/>
            <w:vAlign w:val="center"/>
          </w:tcPr>
          <w:p w14:paraId="261D9BF1" w14:textId="77777777" w:rsidR="002F264B" w:rsidRDefault="002F264B" w:rsidP="002F264B">
            <w:pPr>
              <w:pStyle w:val="ListParagraph"/>
              <w:tabs>
                <w:tab w:val="left" w:pos="0"/>
                <w:tab w:val="left" w:pos="993"/>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F5207C">
              <w:rPr>
                <w:rFonts w:ascii="Times New Roman" w:hAnsi="Times New Roman"/>
                <w:sz w:val="24"/>
                <w:szCs w:val="24"/>
              </w:rPr>
              <w:t>Skelbimo apie Pirkimą III.2.1 punkto 10 papunktyje ir Pirkimo sąlygų 3.10 punkte nustatyta, kad tiekėjo siūlomas Statinio statybos vadovas turi turėti ne mažesnę kaip 36 mėnesių patirtį, einant statinio statybos vadovo arba statybos bendrųjų darbų vadovo pareigas statinių pogrupyje: susisiekimo komunikacijos: keliai (gatvės).</w:t>
            </w:r>
            <w:r>
              <w:rPr>
                <w:rFonts w:ascii="Times New Roman" w:hAnsi="Times New Roman"/>
                <w:sz w:val="24"/>
                <w:szCs w:val="24"/>
              </w:rPr>
              <w:t xml:space="preserve"> Reikalavimas turėti 36 mėnesių patirties tik kelių (gatvių) tiesime yra ribojantis potencialių specialistų galimyb</w:t>
            </w:r>
            <w:r w:rsidR="00685B24">
              <w:rPr>
                <w:rFonts w:ascii="Times New Roman" w:hAnsi="Times New Roman"/>
                <w:sz w:val="24"/>
                <w:szCs w:val="24"/>
              </w:rPr>
              <w:t>e</w:t>
            </w:r>
            <w:r>
              <w:rPr>
                <w:rFonts w:ascii="Times New Roman" w:hAnsi="Times New Roman"/>
                <w:sz w:val="24"/>
                <w:szCs w:val="24"/>
              </w:rPr>
              <w:t xml:space="preserve">s dalyvauti Pirkime. Tarnyba </w:t>
            </w:r>
            <w:r>
              <w:rPr>
                <w:rFonts w:ascii="Times New Roman" w:hAnsi="Times New Roman"/>
                <w:sz w:val="24"/>
                <w:szCs w:val="24"/>
              </w:rPr>
              <w:lastRenderedPageBreak/>
              <w:t>pažymi, kad Perkančioji organizacija specialistui kelia reikalavimą turėti atestatą statinių pogrupyje keliai (gatvės), tačiau tiekėjo įgyta patirtis ir statinių pogrupyje keliai turėt</w:t>
            </w:r>
            <w:r w:rsidR="00885655">
              <w:rPr>
                <w:rFonts w:ascii="Times New Roman" w:hAnsi="Times New Roman"/>
                <w:sz w:val="24"/>
                <w:szCs w:val="24"/>
              </w:rPr>
              <w:t>ų</w:t>
            </w:r>
            <w:r>
              <w:rPr>
                <w:rFonts w:ascii="Times New Roman" w:hAnsi="Times New Roman"/>
                <w:sz w:val="24"/>
                <w:szCs w:val="24"/>
              </w:rPr>
              <w:t xml:space="preserve"> būti pripažinta tinkama</w:t>
            </w:r>
            <w:r w:rsidR="00924796">
              <w:rPr>
                <w:rFonts w:ascii="Times New Roman" w:hAnsi="Times New Roman"/>
                <w:sz w:val="24"/>
                <w:szCs w:val="24"/>
              </w:rPr>
              <w:t>;</w:t>
            </w:r>
          </w:p>
          <w:p w14:paraId="58F4371A" w14:textId="77777777" w:rsidR="002F264B" w:rsidRPr="008B62D7" w:rsidRDefault="002F264B" w:rsidP="00924796">
            <w:pPr>
              <w:pStyle w:val="ListParagraph"/>
              <w:tabs>
                <w:tab w:val="left" w:pos="0"/>
                <w:tab w:val="left" w:pos="993"/>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F5207C">
              <w:rPr>
                <w:rFonts w:ascii="Times New Roman" w:hAnsi="Times New Roman"/>
                <w:sz w:val="24"/>
                <w:szCs w:val="24"/>
              </w:rPr>
              <w:t xml:space="preserve">Skelbimo apie Pirkimą III.2.1 punkto </w:t>
            </w:r>
            <w:r>
              <w:rPr>
                <w:rFonts w:ascii="Times New Roman" w:hAnsi="Times New Roman"/>
                <w:sz w:val="24"/>
                <w:szCs w:val="24"/>
              </w:rPr>
              <w:t>12</w:t>
            </w:r>
            <w:r w:rsidRPr="00F5207C">
              <w:rPr>
                <w:rFonts w:ascii="Times New Roman" w:hAnsi="Times New Roman"/>
                <w:sz w:val="24"/>
                <w:szCs w:val="24"/>
              </w:rPr>
              <w:t xml:space="preserve"> papunktyje ir Pirkimo sąlygų 3.1</w:t>
            </w:r>
            <w:r>
              <w:rPr>
                <w:rFonts w:ascii="Times New Roman" w:hAnsi="Times New Roman"/>
                <w:sz w:val="24"/>
                <w:szCs w:val="24"/>
              </w:rPr>
              <w:t>2</w:t>
            </w:r>
            <w:r w:rsidRPr="00F5207C">
              <w:rPr>
                <w:rFonts w:ascii="Times New Roman" w:hAnsi="Times New Roman"/>
                <w:sz w:val="24"/>
                <w:szCs w:val="24"/>
              </w:rPr>
              <w:t xml:space="preserve"> punkte nustatyta, kad </w:t>
            </w:r>
            <w:r w:rsidRPr="002F264B">
              <w:rPr>
                <w:rFonts w:ascii="Times New Roman" w:hAnsi="Times New Roman"/>
                <w:sz w:val="24"/>
                <w:szCs w:val="24"/>
              </w:rPr>
              <w:t xml:space="preserve">„Tiekėjas turi nuosavybės teise arba turi galimybę nuomotis </w:t>
            </w:r>
            <w:r>
              <w:rPr>
                <w:rFonts w:ascii="Times New Roman" w:hAnsi="Times New Roman"/>
                <w:sz w:val="24"/>
                <w:szCs w:val="24"/>
              </w:rPr>
              <w:t>&lt;...&gt;</w:t>
            </w:r>
            <w:r w:rsidRPr="002F264B">
              <w:rPr>
                <w:rFonts w:ascii="Times New Roman" w:hAnsi="Times New Roman"/>
                <w:sz w:val="24"/>
                <w:szCs w:val="24"/>
              </w:rPr>
              <w:t xml:space="preserve"> atitinkamas matavimo priemones ir laboratorinę įrangą, užtikrinančią Pirkimo sutartyje numatytų Darbų savikontrolės (vidinės kontrolės) vykdymą. </w:t>
            </w:r>
            <w:r w:rsidRPr="00A933E8">
              <w:rPr>
                <w:rFonts w:ascii="Times New Roman" w:hAnsi="Times New Roman"/>
                <w:sz w:val="24"/>
                <w:szCs w:val="24"/>
              </w:rPr>
              <w:t>Tiekėjo siūloma laboratorija turi būti akredituota</w:t>
            </w:r>
            <w:r w:rsidRPr="002F264B">
              <w:rPr>
                <w:rFonts w:ascii="Times New Roman" w:hAnsi="Times New Roman"/>
                <w:sz w:val="24"/>
                <w:szCs w:val="24"/>
              </w:rPr>
              <w:t>. &lt;...&gt;“</w:t>
            </w:r>
            <w:r w:rsidR="00186BFB">
              <w:rPr>
                <w:rFonts w:ascii="Times New Roman" w:hAnsi="Times New Roman"/>
                <w:sz w:val="24"/>
                <w:szCs w:val="24"/>
              </w:rPr>
              <w:t xml:space="preserve">. Perkančiosios organizacijos </w:t>
            </w:r>
            <w:r w:rsidR="00186BFB" w:rsidRPr="000D7FCF">
              <w:rPr>
                <w:rFonts w:ascii="Times New Roman" w:hAnsi="Times New Roman"/>
                <w:sz w:val="24"/>
                <w:szCs w:val="24"/>
              </w:rPr>
              <w:t>reikalavimas, kad tiekėjo savikontrolei pasitelkta laboratorija būt</w:t>
            </w:r>
            <w:r w:rsidR="00764BF8" w:rsidRPr="000D7FCF">
              <w:rPr>
                <w:rFonts w:ascii="Times New Roman" w:hAnsi="Times New Roman"/>
                <w:sz w:val="24"/>
                <w:szCs w:val="24"/>
              </w:rPr>
              <w:t>ų</w:t>
            </w:r>
            <w:r w:rsidR="00186BFB" w:rsidRPr="000D7FCF">
              <w:rPr>
                <w:rFonts w:ascii="Times New Roman" w:hAnsi="Times New Roman"/>
                <w:sz w:val="24"/>
                <w:szCs w:val="24"/>
              </w:rPr>
              <w:t xml:space="preserve"> akredituota yra perteklinis, atsižvelgiant į tai, kad </w:t>
            </w:r>
            <w:r w:rsidR="00A933E8" w:rsidRPr="000D7FCF">
              <w:rPr>
                <w:rFonts w:ascii="Times New Roman" w:hAnsi="Times New Roman"/>
                <w:sz w:val="24"/>
                <w:szCs w:val="24"/>
              </w:rPr>
              <w:t>Pirkimo objektas yra statybos darbai, o ne laboratorinių</w:t>
            </w:r>
            <w:r w:rsidR="00764BF8" w:rsidRPr="000D7FCF">
              <w:rPr>
                <w:rFonts w:ascii="Times New Roman" w:hAnsi="Times New Roman"/>
                <w:spacing w:val="2"/>
                <w:sz w:val="24"/>
                <w:szCs w:val="24"/>
                <w:shd w:val="clear" w:color="auto" w:fill="FFFFFF"/>
              </w:rPr>
              <w:t xml:space="preserve"> tyrimų paslaugos. Taip pat pažymėtina, kad šias paslaugas įprastai suteikia kiti negu dalyvaujantys darbų pirkimuose tiekėjai, todėl siekdami dalyvauti šiame pirkime tiekėjai, būtų priversti dirbtinai sujungti savo pajėgumus</w:t>
            </w:r>
            <w:r w:rsidR="000D7FCF">
              <w:rPr>
                <w:rFonts w:ascii="Arial" w:hAnsi="Arial" w:cs="Arial"/>
                <w:color w:val="444444"/>
                <w:spacing w:val="2"/>
                <w:sz w:val="23"/>
                <w:szCs w:val="23"/>
                <w:shd w:val="clear" w:color="auto" w:fill="FFFFFF"/>
              </w:rPr>
              <w:t>.</w:t>
            </w:r>
          </w:p>
        </w:tc>
      </w:tr>
      <w:tr w:rsidR="00792160" w:rsidRPr="008B62D7" w14:paraId="1E686311" w14:textId="77777777" w:rsidTr="000A43BE">
        <w:tc>
          <w:tcPr>
            <w:tcW w:w="675" w:type="dxa"/>
            <w:tcBorders>
              <w:top w:val="single" w:sz="4" w:space="0" w:color="auto"/>
            </w:tcBorders>
            <w:shd w:val="clear" w:color="auto" w:fill="auto"/>
            <w:vAlign w:val="center"/>
          </w:tcPr>
          <w:p w14:paraId="1E1743B2" w14:textId="77777777" w:rsidR="00792160" w:rsidRPr="008B62D7" w:rsidRDefault="00792160"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tcBorders>
              <w:top w:val="single" w:sz="4" w:space="0" w:color="auto"/>
            </w:tcBorders>
            <w:shd w:val="clear" w:color="auto" w:fill="auto"/>
          </w:tcPr>
          <w:p w14:paraId="7D8CD22F" w14:textId="77777777" w:rsidR="00792160" w:rsidRPr="008B62D7" w:rsidRDefault="00792160" w:rsidP="008B62D7">
            <w:pPr>
              <w:pStyle w:val="ListParagraph"/>
              <w:tabs>
                <w:tab w:val="left" w:pos="0"/>
                <w:tab w:val="left" w:pos="993"/>
                <w:tab w:val="left" w:pos="1276"/>
              </w:tabs>
              <w:spacing w:after="0" w:line="240" w:lineRule="auto"/>
              <w:ind w:left="0"/>
              <w:jc w:val="both"/>
              <w:rPr>
                <w:rFonts w:ascii="Times New Roman" w:hAnsi="Times New Roman"/>
                <w:sz w:val="24"/>
                <w:szCs w:val="24"/>
              </w:rPr>
            </w:pPr>
            <w:r w:rsidRPr="008B62D7">
              <w:rPr>
                <w:rFonts w:ascii="Times New Roman" w:hAnsi="Times New Roman"/>
                <w:sz w:val="24"/>
                <w:szCs w:val="24"/>
              </w:rPr>
              <w:t>Įstatymo 87 straipsnio 1 dalis</w:t>
            </w:r>
            <w:r w:rsidRPr="008B62D7">
              <w:rPr>
                <w:rStyle w:val="FootnoteReference"/>
                <w:rFonts w:ascii="Times New Roman" w:hAnsi="Times New Roman"/>
                <w:sz w:val="24"/>
                <w:szCs w:val="24"/>
              </w:rPr>
              <w:footnoteReference w:id="18"/>
            </w:r>
            <w:r w:rsidRPr="008B62D7">
              <w:rPr>
                <w:rFonts w:ascii="Times New Roman" w:hAnsi="Times New Roman"/>
                <w:sz w:val="24"/>
                <w:szCs w:val="24"/>
              </w:rPr>
              <w:t>, 3 straipsnio 1 dalis</w:t>
            </w:r>
            <w:r w:rsidRPr="008B62D7">
              <w:rPr>
                <w:rStyle w:val="FootnoteReference"/>
                <w:rFonts w:ascii="Times New Roman" w:hAnsi="Times New Roman"/>
                <w:sz w:val="24"/>
                <w:szCs w:val="24"/>
              </w:rPr>
              <w:footnoteReference w:id="19"/>
            </w:r>
            <w:r w:rsidRPr="008B62D7">
              <w:rPr>
                <w:rFonts w:ascii="Times New Roman" w:hAnsi="Times New Roman"/>
                <w:sz w:val="24"/>
                <w:szCs w:val="24"/>
              </w:rPr>
              <w:t>, 32 straipsnio 3 dalis</w:t>
            </w:r>
            <w:r w:rsidRPr="008B62D7">
              <w:rPr>
                <w:rStyle w:val="FootnoteReference"/>
                <w:rFonts w:ascii="Times New Roman" w:hAnsi="Times New Roman"/>
                <w:sz w:val="24"/>
                <w:szCs w:val="24"/>
              </w:rPr>
              <w:footnoteReference w:id="20"/>
            </w:r>
          </w:p>
        </w:tc>
      </w:tr>
      <w:tr w:rsidR="00C61B83" w:rsidRPr="008B62D7" w14:paraId="024CE860" w14:textId="77777777" w:rsidTr="000A43BE">
        <w:tc>
          <w:tcPr>
            <w:tcW w:w="9747" w:type="dxa"/>
            <w:gridSpan w:val="2"/>
            <w:shd w:val="clear" w:color="auto" w:fill="auto"/>
            <w:vAlign w:val="center"/>
          </w:tcPr>
          <w:p w14:paraId="25AD3EBF" w14:textId="77777777" w:rsidR="00C61B83" w:rsidRPr="005D7686" w:rsidRDefault="00C531C4" w:rsidP="00C75A7E">
            <w:pPr>
              <w:pStyle w:val="Normal12pt"/>
              <w:ind w:right="0" w:firstLine="567"/>
              <w:rPr>
                <w:rFonts w:eastAsia="Courier New"/>
                <w:bCs/>
                <w:lang w:eastAsia="lt-LT"/>
              </w:rPr>
            </w:pPr>
            <w:r w:rsidRPr="008B62D7">
              <w:rPr>
                <w:bCs/>
              </w:rPr>
              <w:t xml:space="preserve">Pirkimo sąlygų 3.17 punkte nustatytas reikalavimas, kad „&lt;...&gt; </w:t>
            </w:r>
            <w:r w:rsidRPr="008B62D7">
              <w:rPr>
                <w:rFonts w:eastAsia="Courier New"/>
                <w:bCs/>
                <w:lang w:eastAsia="lt-LT"/>
              </w:rPr>
              <w:t xml:space="preserve">tiekėjas, ketindamas remtis kito ūkio subjekto pajėgumais konkurso sąlygų 3.11 – 3.13 p. nurodytais tikslais, privalo pateikti šio ūkio subjekto pasirašytos laidavimo sutarties skaitmeninę kopiją, patvirtinančią, kad subjektas, kurio pajėgumais remiamasi, įsipareigoja </w:t>
            </w:r>
            <w:r w:rsidRPr="00D516D3">
              <w:rPr>
                <w:rFonts w:eastAsia="Courier New"/>
                <w:b/>
                <w:bCs/>
                <w:lang w:eastAsia="lt-LT"/>
              </w:rPr>
              <w:t>solidariai</w:t>
            </w:r>
            <w:r w:rsidRPr="008B62D7">
              <w:rPr>
                <w:rFonts w:eastAsia="Courier New"/>
                <w:bCs/>
                <w:lang w:eastAsia="lt-LT"/>
              </w:rPr>
              <w:t xml:space="preserve"> atsakyti už tiekėjo įsipareigojimų pagal sutartį vykdymą ir atlyginti bet kokią žalą, kuri kiltų dėl tiekėjo netinkamo įsipareigojimų vykdymo ar nevykdymo“</w:t>
            </w:r>
            <w:r w:rsidR="00E4449E">
              <w:rPr>
                <w:rFonts w:eastAsia="Courier New"/>
                <w:bCs/>
                <w:lang w:eastAsia="lt-LT"/>
              </w:rPr>
              <w:t xml:space="preserve">. </w:t>
            </w:r>
            <w:r w:rsidR="005D7686">
              <w:rPr>
                <w:rFonts w:eastAsia="Courier New"/>
                <w:bCs/>
                <w:lang w:eastAsia="lt-LT"/>
              </w:rPr>
              <w:t>Pirkimo sąlygų 3.17 punkte ūkio subjektams nustatytas reikalavimas dėl solidarios atsakomybės už tiekėjo įsipareigojimų nevykdymą,</w:t>
            </w:r>
            <w:r w:rsidR="005D7686" w:rsidRPr="008B62D7">
              <w:rPr>
                <w:rFonts w:eastAsia="Courier New"/>
                <w:bCs/>
                <w:lang w:eastAsia="lt-LT"/>
              </w:rPr>
              <w:t xml:space="preserve"> yra neproporcingas </w:t>
            </w:r>
            <w:r w:rsidR="005D7686">
              <w:rPr>
                <w:rFonts w:eastAsia="Courier New"/>
                <w:bCs/>
                <w:lang w:eastAsia="lt-LT"/>
              </w:rPr>
              <w:t>ūkio subjektų įnašui pirkimo sutarties vykdymo metu</w:t>
            </w:r>
            <w:r w:rsidR="00D516D3">
              <w:rPr>
                <w:rFonts w:eastAsia="Courier New"/>
                <w:bCs/>
                <w:lang w:eastAsia="lt-LT"/>
              </w:rPr>
              <w:t>. Pažymėtina</w:t>
            </w:r>
            <w:r w:rsidR="005D7686">
              <w:rPr>
                <w:rFonts w:eastAsia="Courier New"/>
                <w:bCs/>
                <w:lang w:eastAsia="lt-LT"/>
              </w:rPr>
              <w:t xml:space="preserve">, </w:t>
            </w:r>
            <w:r w:rsidR="00E4449E">
              <w:rPr>
                <w:rFonts w:eastAsia="Courier New"/>
                <w:bCs/>
                <w:lang w:eastAsia="lt-LT"/>
              </w:rPr>
              <w:t xml:space="preserve">kad tiekėjas siekdamas </w:t>
            </w:r>
            <w:r w:rsidR="00D516D3">
              <w:rPr>
                <w:rFonts w:eastAsia="Courier New"/>
                <w:bCs/>
                <w:lang w:eastAsia="lt-LT"/>
              </w:rPr>
              <w:t xml:space="preserve">įrodyti </w:t>
            </w:r>
            <w:r w:rsidR="00E4449E">
              <w:rPr>
                <w:rFonts w:eastAsia="Courier New"/>
                <w:bCs/>
                <w:lang w:eastAsia="lt-LT"/>
              </w:rPr>
              <w:t>atitikt</w:t>
            </w:r>
            <w:r w:rsidR="00D516D3">
              <w:rPr>
                <w:rFonts w:eastAsia="Courier New"/>
                <w:bCs/>
                <w:lang w:eastAsia="lt-LT"/>
              </w:rPr>
              <w:t>į</w:t>
            </w:r>
            <w:r w:rsidR="00E4449E">
              <w:rPr>
                <w:rFonts w:eastAsia="Courier New"/>
                <w:bCs/>
                <w:lang w:eastAsia="lt-LT"/>
              </w:rPr>
              <w:t xml:space="preserve"> Pirkimo </w:t>
            </w:r>
            <w:r w:rsidR="00C75A7E">
              <w:rPr>
                <w:rFonts w:eastAsia="Courier New"/>
                <w:bCs/>
                <w:lang w:eastAsia="lt-LT"/>
              </w:rPr>
              <w:t xml:space="preserve">sąlygų 3.11-3.13 punktuose </w:t>
            </w:r>
            <w:r w:rsidR="00E4449E">
              <w:rPr>
                <w:rFonts w:eastAsia="Courier New"/>
                <w:bCs/>
                <w:lang w:eastAsia="lt-LT"/>
              </w:rPr>
              <w:t>nustatytiems kvalifikacijos reikalavimams</w:t>
            </w:r>
            <w:r w:rsidR="005D7686">
              <w:rPr>
                <w:rFonts w:eastAsia="Courier New"/>
                <w:bCs/>
                <w:lang w:eastAsia="lt-LT"/>
              </w:rPr>
              <w:t xml:space="preserve"> gali sudaryti su ūkio subjektais </w:t>
            </w:r>
            <w:r w:rsidR="00E4449E">
              <w:rPr>
                <w:rFonts w:eastAsia="Courier New"/>
                <w:bCs/>
                <w:lang w:eastAsia="lt-LT"/>
              </w:rPr>
              <w:t xml:space="preserve">nuomos ar panaudos sutartis, </w:t>
            </w:r>
            <w:r w:rsidR="005D7686">
              <w:rPr>
                <w:rFonts w:eastAsia="Courier New"/>
                <w:bCs/>
                <w:lang w:eastAsia="lt-LT"/>
              </w:rPr>
              <w:t xml:space="preserve">įsigyti šią įrangą, medžiagas ir mechanizmus pateikdamas ketinimų protokolus ar preliminariąsias </w:t>
            </w:r>
            <w:r w:rsidR="00E4449E">
              <w:rPr>
                <w:rFonts w:eastAsia="Courier New"/>
                <w:bCs/>
                <w:lang w:eastAsia="lt-LT"/>
              </w:rPr>
              <w:t>pirkimo – pardavimo sutartis</w:t>
            </w:r>
            <w:r w:rsidR="00D516D3">
              <w:rPr>
                <w:rFonts w:eastAsia="Courier New"/>
                <w:bCs/>
                <w:lang w:eastAsia="lt-LT"/>
              </w:rPr>
              <w:t xml:space="preserve"> pagal sutartį prisiimtiems įsipareigojimams vykdyti</w:t>
            </w:r>
            <w:r w:rsidR="005D7686">
              <w:rPr>
                <w:rFonts w:eastAsia="Courier New"/>
                <w:bCs/>
                <w:lang w:eastAsia="lt-LT"/>
              </w:rPr>
              <w:t xml:space="preserve">. </w:t>
            </w:r>
          </w:p>
        </w:tc>
      </w:tr>
      <w:tr w:rsidR="00F67EC6" w:rsidRPr="008B62D7" w14:paraId="2FF610E5" w14:textId="77777777" w:rsidTr="000A43BE">
        <w:tc>
          <w:tcPr>
            <w:tcW w:w="675" w:type="dxa"/>
            <w:shd w:val="clear" w:color="auto" w:fill="auto"/>
            <w:vAlign w:val="center"/>
          </w:tcPr>
          <w:p w14:paraId="5B7B6D2F" w14:textId="77777777" w:rsidR="00F67EC6" w:rsidRPr="008B62D7" w:rsidRDefault="00F67EC6"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shd w:val="clear" w:color="auto" w:fill="auto"/>
          </w:tcPr>
          <w:p w14:paraId="29189AC4" w14:textId="77777777" w:rsidR="00F67EC6" w:rsidRPr="008B62D7" w:rsidRDefault="00EA285C" w:rsidP="008B62D7">
            <w:pPr>
              <w:pStyle w:val="ListParagraph"/>
              <w:tabs>
                <w:tab w:val="left" w:pos="0"/>
                <w:tab w:val="left" w:pos="993"/>
                <w:tab w:val="left" w:pos="1276"/>
              </w:tabs>
              <w:spacing w:after="0" w:line="240" w:lineRule="auto"/>
              <w:ind w:left="0"/>
              <w:jc w:val="both"/>
              <w:rPr>
                <w:rFonts w:ascii="Times New Roman" w:hAnsi="Times New Roman"/>
                <w:bCs/>
                <w:sz w:val="24"/>
                <w:szCs w:val="24"/>
              </w:rPr>
            </w:pPr>
            <w:r w:rsidRPr="008B62D7">
              <w:rPr>
                <w:rFonts w:ascii="Times New Roman" w:hAnsi="Times New Roman"/>
                <w:bCs/>
                <w:sz w:val="24"/>
                <w:szCs w:val="24"/>
              </w:rPr>
              <w:t>Taisyklių 36.9 punktas</w:t>
            </w:r>
            <w:r w:rsidRPr="008B62D7">
              <w:rPr>
                <w:rStyle w:val="FootnoteReference"/>
                <w:rFonts w:ascii="Times New Roman" w:hAnsi="Times New Roman"/>
                <w:bCs/>
                <w:sz w:val="24"/>
                <w:szCs w:val="24"/>
              </w:rPr>
              <w:footnoteReference w:id="21"/>
            </w:r>
            <w:r w:rsidRPr="008B62D7">
              <w:rPr>
                <w:rFonts w:ascii="Times New Roman" w:hAnsi="Times New Roman"/>
                <w:bCs/>
                <w:sz w:val="24"/>
                <w:szCs w:val="24"/>
              </w:rPr>
              <w:t>, Įstatymo 85 straipsnio 2 dalis</w:t>
            </w:r>
            <w:r w:rsidRPr="008B62D7">
              <w:rPr>
                <w:rFonts w:ascii="Times New Roman" w:hAnsi="Times New Roman"/>
                <w:bCs/>
                <w:sz w:val="24"/>
                <w:szCs w:val="24"/>
                <w:vertAlign w:val="superscript"/>
              </w:rPr>
              <w:footnoteReference w:id="22"/>
            </w:r>
          </w:p>
        </w:tc>
      </w:tr>
      <w:tr w:rsidR="00F67EC6" w:rsidRPr="008B62D7" w14:paraId="3A1A1BAB" w14:textId="77777777" w:rsidTr="000A43BE">
        <w:tc>
          <w:tcPr>
            <w:tcW w:w="9747" w:type="dxa"/>
            <w:gridSpan w:val="2"/>
            <w:shd w:val="clear" w:color="auto" w:fill="auto"/>
            <w:vAlign w:val="center"/>
          </w:tcPr>
          <w:p w14:paraId="0DF2E3CE" w14:textId="77777777" w:rsidR="00F67EC6" w:rsidRPr="008B62D7" w:rsidRDefault="00EA285C" w:rsidP="00C06F9A">
            <w:pPr>
              <w:pStyle w:val="ListParagraph"/>
              <w:tabs>
                <w:tab w:val="left" w:pos="0"/>
                <w:tab w:val="left" w:pos="993"/>
                <w:tab w:val="left" w:pos="1276"/>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Pirkimo sąlygų 8.2 punkto nuostatos, kad „</w:t>
            </w:r>
            <w:r w:rsidRPr="008B62D7">
              <w:rPr>
                <w:rFonts w:ascii="Times New Roman" w:hAnsi="Times New Roman"/>
                <w:sz w:val="24"/>
                <w:szCs w:val="24"/>
              </w:rPr>
              <w:t>Susipažinimo su pasiūlymų techniniais duomenimis ir informacija apie dalyvius posėdyje dalyvaujantiems dalyviams ar jų įgaliotiems atstovams skelbiamas pasiūlymą pateikusio dalyvio pavadinimas</w:t>
            </w:r>
            <w:r w:rsidRPr="008B62D7">
              <w:rPr>
                <w:rFonts w:ascii="Times New Roman" w:hAnsi="Times New Roman"/>
                <w:sz w:val="24"/>
                <w:szCs w:val="24"/>
                <w:lang w:eastAsia="lt-LT"/>
              </w:rPr>
              <w:t xml:space="preserve">, </w:t>
            </w:r>
            <w:r w:rsidRPr="008B62D7">
              <w:rPr>
                <w:rFonts w:ascii="Times New Roman" w:hAnsi="Times New Roman"/>
                <w:sz w:val="24"/>
                <w:szCs w:val="24"/>
              </w:rPr>
              <w:t xml:space="preserve">pranešama, ar yra pateiktas pasiūlymo galiojimo užtikrinimas, ar pasiūlymas pateiktas </w:t>
            </w:r>
            <w:r w:rsidR="00C06F9A">
              <w:rPr>
                <w:rFonts w:ascii="Times New Roman" w:hAnsi="Times New Roman"/>
                <w:sz w:val="24"/>
                <w:szCs w:val="24"/>
              </w:rPr>
              <w:t>P</w:t>
            </w:r>
            <w:r w:rsidR="00C06F9A" w:rsidRPr="008B62D7">
              <w:rPr>
                <w:rFonts w:ascii="Times New Roman" w:hAnsi="Times New Roman"/>
                <w:sz w:val="24"/>
                <w:szCs w:val="24"/>
              </w:rPr>
              <w:t>erkančiosios</w:t>
            </w:r>
            <w:r w:rsidR="00C06F9A" w:rsidRPr="008B62D7">
              <w:rPr>
                <w:rFonts w:ascii="Times New Roman" w:hAnsi="Times New Roman"/>
                <w:spacing w:val="-2"/>
                <w:sz w:val="24"/>
                <w:szCs w:val="24"/>
              </w:rPr>
              <w:t xml:space="preserve"> </w:t>
            </w:r>
            <w:r w:rsidRPr="008B62D7">
              <w:rPr>
                <w:rFonts w:ascii="Times New Roman" w:hAnsi="Times New Roman"/>
                <w:spacing w:val="-2"/>
                <w:sz w:val="24"/>
                <w:szCs w:val="24"/>
              </w:rPr>
              <w:t xml:space="preserve">organizacijos nurodytomis elektroninėmis priemonėmis. </w:t>
            </w:r>
            <w:r w:rsidRPr="008B62D7">
              <w:rPr>
                <w:rFonts w:ascii="Times New Roman" w:hAnsi="Times New Roman"/>
                <w:sz w:val="24"/>
                <w:szCs w:val="24"/>
              </w:rPr>
              <w:t>Jeigu nors vienas procedūroje dalyvaujantis dalyvis ar jo įgaliotas atstovas pageidauja, skelbiamos visos pasiūlymų charakteristikos, į kurias atsižvelgiama vertinant pasiūlymus“, neatitinka Taisyklių 36.9 punkte nustatytų reikalavimų</w:t>
            </w:r>
            <w:r w:rsidR="00123286">
              <w:rPr>
                <w:rFonts w:ascii="Times New Roman" w:hAnsi="Times New Roman"/>
                <w:sz w:val="24"/>
                <w:szCs w:val="24"/>
              </w:rPr>
              <w:t>,</w:t>
            </w:r>
            <w:r w:rsidRPr="008B62D7">
              <w:rPr>
                <w:rFonts w:ascii="Times New Roman" w:hAnsi="Times New Roman"/>
                <w:sz w:val="24"/>
                <w:szCs w:val="24"/>
              </w:rPr>
              <w:t xml:space="preserve"> taikom</w:t>
            </w:r>
            <w:r w:rsidR="00123286">
              <w:rPr>
                <w:rFonts w:ascii="Times New Roman" w:hAnsi="Times New Roman"/>
                <w:sz w:val="24"/>
                <w:szCs w:val="24"/>
              </w:rPr>
              <w:t>ų</w:t>
            </w:r>
            <w:r w:rsidRPr="008B62D7">
              <w:rPr>
                <w:rFonts w:ascii="Times New Roman" w:hAnsi="Times New Roman"/>
                <w:sz w:val="24"/>
                <w:szCs w:val="24"/>
              </w:rPr>
              <w:t xml:space="preserve"> vokų su pasiūlymais susipažinimo metu privalomai paskelbti informacijai, o  </w:t>
            </w:r>
            <w:r w:rsidRPr="008B62D7">
              <w:rPr>
                <w:rFonts w:ascii="Times New Roman" w:hAnsi="Times New Roman"/>
                <w:bCs/>
                <w:sz w:val="24"/>
                <w:szCs w:val="24"/>
              </w:rPr>
              <w:t>Pirkimo sąlygų 1 priedo „Pasiūlymas &lt;...&gt; A dalis. Techninė informacija ir duomenys apie tiekėją“ formoje nenumatyta galimybė nurodyti pagrindin</w:t>
            </w:r>
            <w:r w:rsidR="00123286">
              <w:rPr>
                <w:rFonts w:ascii="Times New Roman" w:hAnsi="Times New Roman"/>
                <w:bCs/>
                <w:sz w:val="24"/>
                <w:szCs w:val="24"/>
              </w:rPr>
              <w:t>es</w:t>
            </w:r>
            <w:r w:rsidRPr="008B62D7">
              <w:rPr>
                <w:rFonts w:ascii="Times New Roman" w:hAnsi="Times New Roman"/>
                <w:bCs/>
                <w:sz w:val="24"/>
                <w:szCs w:val="24"/>
              </w:rPr>
              <w:t xml:space="preserve"> technin</w:t>
            </w:r>
            <w:r w:rsidR="00123286">
              <w:rPr>
                <w:rFonts w:ascii="Times New Roman" w:hAnsi="Times New Roman"/>
                <w:bCs/>
                <w:sz w:val="24"/>
                <w:szCs w:val="24"/>
              </w:rPr>
              <w:t>es</w:t>
            </w:r>
            <w:r w:rsidRPr="008B62D7">
              <w:rPr>
                <w:rFonts w:ascii="Times New Roman" w:hAnsi="Times New Roman"/>
                <w:bCs/>
                <w:sz w:val="24"/>
                <w:szCs w:val="24"/>
              </w:rPr>
              <w:t xml:space="preserve"> pasiūlymų charakteristik</w:t>
            </w:r>
            <w:r w:rsidR="00123286">
              <w:rPr>
                <w:rFonts w:ascii="Times New Roman" w:hAnsi="Times New Roman"/>
                <w:bCs/>
                <w:sz w:val="24"/>
                <w:szCs w:val="24"/>
              </w:rPr>
              <w:t>as</w:t>
            </w:r>
            <w:r w:rsidRPr="008B62D7">
              <w:rPr>
                <w:rFonts w:ascii="Times New Roman" w:hAnsi="Times New Roman"/>
                <w:bCs/>
                <w:sz w:val="24"/>
                <w:szCs w:val="24"/>
              </w:rPr>
              <w:t>, kurios privalo būti paskelbtos, vadovaujantis Taisyklių 36.9 punkto nuostat</w:t>
            </w:r>
            <w:r w:rsidR="000E168C" w:rsidRPr="008B62D7">
              <w:rPr>
                <w:rFonts w:ascii="Times New Roman" w:hAnsi="Times New Roman"/>
                <w:bCs/>
                <w:sz w:val="24"/>
                <w:szCs w:val="24"/>
              </w:rPr>
              <w:t>omis</w:t>
            </w:r>
            <w:r w:rsidRPr="008B62D7">
              <w:rPr>
                <w:rFonts w:ascii="Times New Roman" w:hAnsi="Times New Roman"/>
                <w:bCs/>
                <w:sz w:val="24"/>
                <w:szCs w:val="24"/>
              </w:rPr>
              <w:t>.</w:t>
            </w:r>
          </w:p>
        </w:tc>
      </w:tr>
      <w:tr w:rsidR="00F67EC6" w:rsidRPr="008B62D7" w14:paraId="64EEABD7" w14:textId="77777777" w:rsidTr="000A43BE">
        <w:tc>
          <w:tcPr>
            <w:tcW w:w="675" w:type="dxa"/>
            <w:shd w:val="clear" w:color="auto" w:fill="auto"/>
            <w:vAlign w:val="center"/>
          </w:tcPr>
          <w:p w14:paraId="16A4540D" w14:textId="77777777" w:rsidR="00F67EC6" w:rsidRPr="008B62D7" w:rsidRDefault="00F67EC6" w:rsidP="008B62D7">
            <w:pPr>
              <w:pStyle w:val="ListParagraph"/>
              <w:numPr>
                <w:ilvl w:val="0"/>
                <w:numId w:val="25"/>
              </w:numPr>
              <w:spacing w:after="0" w:line="240" w:lineRule="auto"/>
              <w:ind w:left="0" w:firstLine="0"/>
              <w:rPr>
                <w:rFonts w:ascii="Times New Roman" w:hAnsi="Times New Roman"/>
                <w:sz w:val="24"/>
                <w:szCs w:val="24"/>
              </w:rPr>
            </w:pPr>
          </w:p>
        </w:tc>
        <w:tc>
          <w:tcPr>
            <w:tcW w:w="9072" w:type="dxa"/>
            <w:shd w:val="clear" w:color="auto" w:fill="auto"/>
          </w:tcPr>
          <w:p w14:paraId="393943E6" w14:textId="77777777" w:rsidR="00F67EC6" w:rsidRPr="008B62D7" w:rsidRDefault="0023117E" w:rsidP="008B62D7">
            <w:pPr>
              <w:pStyle w:val="ListParagraph"/>
              <w:tabs>
                <w:tab w:val="left" w:pos="0"/>
                <w:tab w:val="left" w:pos="993"/>
                <w:tab w:val="left" w:pos="1276"/>
              </w:tabs>
              <w:spacing w:after="0" w:line="240" w:lineRule="auto"/>
              <w:ind w:left="0"/>
              <w:jc w:val="both"/>
              <w:rPr>
                <w:rFonts w:ascii="Times New Roman" w:hAnsi="Times New Roman"/>
                <w:bCs/>
                <w:sz w:val="24"/>
                <w:szCs w:val="24"/>
              </w:rPr>
            </w:pPr>
            <w:r w:rsidRPr="008B62D7">
              <w:rPr>
                <w:rFonts w:ascii="Times New Roman" w:hAnsi="Times New Roman"/>
                <w:bCs/>
                <w:sz w:val="24"/>
                <w:szCs w:val="24"/>
              </w:rPr>
              <w:t xml:space="preserve">Įstatymo </w:t>
            </w:r>
            <w:r w:rsidR="00C97296" w:rsidRPr="008B62D7">
              <w:rPr>
                <w:rFonts w:ascii="Times New Roman" w:hAnsi="Times New Roman"/>
                <w:bCs/>
                <w:sz w:val="24"/>
                <w:szCs w:val="24"/>
              </w:rPr>
              <w:t xml:space="preserve">3 straipsnio </w:t>
            </w:r>
            <w:r w:rsidR="00A94D8C" w:rsidRPr="008B62D7">
              <w:rPr>
                <w:rFonts w:ascii="Times New Roman" w:hAnsi="Times New Roman"/>
                <w:bCs/>
                <w:sz w:val="24"/>
                <w:szCs w:val="24"/>
              </w:rPr>
              <w:t>1</w:t>
            </w:r>
            <w:r w:rsidR="0028274F" w:rsidRPr="008B62D7">
              <w:rPr>
                <w:rStyle w:val="FootnoteReference"/>
                <w:rFonts w:ascii="Times New Roman" w:hAnsi="Times New Roman"/>
                <w:bCs/>
                <w:sz w:val="24"/>
                <w:szCs w:val="24"/>
              </w:rPr>
              <w:footnoteReference w:id="23"/>
            </w:r>
            <w:r w:rsidR="00A94D8C" w:rsidRPr="008B62D7">
              <w:rPr>
                <w:rFonts w:ascii="Times New Roman" w:hAnsi="Times New Roman"/>
                <w:bCs/>
                <w:sz w:val="24"/>
                <w:szCs w:val="24"/>
              </w:rPr>
              <w:t xml:space="preserve"> ir </w:t>
            </w:r>
            <w:r w:rsidR="00C97296" w:rsidRPr="008B62D7">
              <w:rPr>
                <w:rFonts w:ascii="Times New Roman" w:hAnsi="Times New Roman"/>
                <w:bCs/>
                <w:sz w:val="24"/>
                <w:szCs w:val="24"/>
              </w:rPr>
              <w:t>2</w:t>
            </w:r>
            <w:r w:rsidR="0028274F" w:rsidRPr="008B62D7">
              <w:rPr>
                <w:rStyle w:val="FootnoteReference"/>
                <w:rFonts w:ascii="Times New Roman" w:hAnsi="Times New Roman"/>
                <w:bCs/>
                <w:sz w:val="24"/>
                <w:szCs w:val="24"/>
              </w:rPr>
              <w:footnoteReference w:id="24"/>
            </w:r>
            <w:r w:rsidR="00C97296" w:rsidRPr="008B62D7">
              <w:rPr>
                <w:rFonts w:ascii="Times New Roman" w:hAnsi="Times New Roman"/>
                <w:bCs/>
                <w:sz w:val="24"/>
                <w:szCs w:val="24"/>
              </w:rPr>
              <w:t xml:space="preserve"> dal</w:t>
            </w:r>
            <w:r w:rsidR="00A94D8C" w:rsidRPr="008B62D7">
              <w:rPr>
                <w:rFonts w:ascii="Times New Roman" w:hAnsi="Times New Roman"/>
                <w:bCs/>
                <w:sz w:val="24"/>
                <w:szCs w:val="24"/>
              </w:rPr>
              <w:t>y</w:t>
            </w:r>
            <w:r w:rsidR="00C97296" w:rsidRPr="008B62D7">
              <w:rPr>
                <w:rFonts w:ascii="Times New Roman" w:hAnsi="Times New Roman"/>
                <w:bCs/>
                <w:sz w:val="24"/>
                <w:szCs w:val="24"/>
              </w:rPr>
              <w:t>s</w:t>
            </w:r>
          </w:p>
        </w:tc>
      </w:tr>
      <w:tr w:rsidR="00F67EC6" w:rsidRPr="008B62D7" w14:paraId="2A8F012E" w14:textId="77777777" w:rsidTr="000A43BE">
        <w:tc>
          <w:tcPr>
            <w:tcW w:w="9747" w:type="dxa"/>
            <w:gridSpan w:val="2"/>
            <w:shd w:val="clear" w:color="auto" w:fill="auto"/>
            <w:vAlign w:val="center"/>
          </w:tcPr>
          <w:p w14:paraId="3343366A" w14:textId="77777777" w:rsidR="002E627D" w:rsidRDefault="00EA285C" w:rsidP="008B62D7">
            <w:pPr>
              <w:pStyle w:val="ListParagraph"/>
              <w:tabs>
                <w:tab w:val="left" w:pos="0"/>
                <w:tab w:val="left" w:pos="993"/>
                <w:tab w:val="left" w:pos="1276"/>
              </w:tabs>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 xml:space="preserve">Pirkimo sąlygų 10.4 </w:t>
            </w:r>
            <w:r w:rsidR="000E168C" w:rsidRPr="008B62D7">
              <w:rPr>
                <w:rFonts w:ascii="Times New Roman" w:hAnsi="Times New Roman"/>
                <w:bCs/>
                <w:sz w:val="24"/>
                <w:szCs w:val="24"/>
              </w:rPr>
              <w:t xml:space="preserve">punkte </w:t>
            </w:r>
            <w:r w:rsidRPr="008B62D7">
              <w:rPr>
                <w:rFonts w:ascii="Times New Roman" w:hAnsi="Times New Roman"/>
                <w:bCs/>
                <w:sz w:val="24"/>
                <w:szCs w:val="24"/>
              </w:rPr>
              <w:t xml:space="preserve">nustatyti pasiūlymų vertinimo kriterijai </w:t>
            </w:r>
            <w:r w:rsidR="00357986" w:rsidRPr="008B62D7">
              <w:rPr>
                <w:rFonts w:ascii="Times New Roman" w:hAnsi="Times New Roman"/>
                <w:bCs/>
                <w:sz w:val="24"/>
                <w:szCs w:val="24"/>
              </w:rPr>
              <w:t>(</w:t>
            </w:r>
            <w:r w:rsidRPr="008B62D7">
              <w:rPr>
                <w:rFonts w:ascii="Times New Roman" w:hAnsi="Times New Roman"/>
                <w:bCs/>
                <w:sz w:val="24"/>
                <w:szCs w:val="24"/>
              </w:rPr>
              <w:t>T</w:t>
            </w:r>
            <w:r w:rsidRPr="008B62D7">
              <w:rPr>
                <w:rFonts w:ascii="Times New Roman" w:hAnsi="Times New Roman"/>
                <w:bCs/>
                <w:sz w:val="24"/>
                <w:szCs w:val="24"/>
                <w:vertAlign w:val="subscript"/>
              </w:rPr>
              <w:t>1</w:t>
            </w:r>
            <w:r w:rsidR="00A053AA" w:rsidRPr="008B62D7">
              <w:rPr>
                <w:rFonts w:ascii="Times New Roman" w:hAnsi="Times New Roman"/>
                <w:bCs/>
                <w:sz w:val="24"/>
                <w:szCs w:val="24"/>
              </w:rPr>
              <w:t>)</w:t>
            </w:r>
            <w:r w:rsidRPr="008B62D7">
              <w:rPr>
                <w:rFonts w:ascii="Times New Roman" w:hAnsi="Times New Roman"/>
                <w:bCs/>
                <w:sz w:val="24"/>
                <w:szCs w:val="24"/>
              </w:rPr>
              <w:t xml:space="preserve"> – „Rizikos valdymas“</w:t>
            </w:r>
            <w:r w:rsidR="00357986" w:rsidRPr="008B62D7">
              <w:rPr>
                <w:rFonts w:ascii="Times New Roman" w:hAnsi="Times New Roman"/>
                <w:bCs/>
                <w:sz w:val="24"/>
                <w:szCs w:val="24"/>
              </w:rPr>
              <w:t xml:space="preserve"> (</w:t>
            </w:r>
            <w:r w:rsidR="00357986" w:rsidRPr="008B62D7">
              <w:rPr>
                <w:rFonts w:ascii="Times New Roman" w:hAnsi="Times New Roman"/>
                <w:sz w:val="24"/>
                <w:szCs w:val="24"/>
              </w:rPr>
              <w:t xml:space="preserve">Vertinamas rangos sutarties &lt;...&gt; vykdymo rizikų identifikavimas, jų veiksnių analizės </w:t>
            </w:r>
            <w:r w:rsidR="00357986" w:rsidRPr="008B62D7">
              <w:rPr>
                <w:rFonts w:ascii="Times New Roman" w:hAnsi="Times New Roman"/>
                <w:sz w:val="24"/>
                <w:szCs w:val="24"/>
              </w:rPr>
              <w:lastRenderedPageBreak/>
              <w:t>išsamumas; numatytų rizikos valdymo priemonių ir būdų efektyvumas, įgyvendinamumas ir pagrįstumas)</w:t>
            </w:r>
            <w:r w:rsidRPr="008B62D7">
              <w:rPr>
                <w:rFonts w:ascii="Times New Roman" w:hAnsi="Times New Roman"/>
                <w:bCs/>
                <w:sz w:val="24"/>
                <w:szCs w:val="24"/>
              </w:rPr>
              <w:t xml:space="preserve">, ir </w:t>
            </w:r>
            <w:r w:rsidR="00357986" w:rsidRPr="008B62D7">
              <w:rPr>
                <w:rFonts w:ascii="Times New Roman" w:hAnsi="Times New Roman"/>
                <w:bCs/>
                <w:sz w:val="24"/>
                <w:szCs w:val="24"/>
              </w:rPr>
              <w:t>(</w:t>
            </w:r>
            <w:r w:rsidRPr="008B62D7">
              <w:rPr>
                <w:rFonts w:ascii="Times New Roman" w:hAnsi="Times New Roman"/>
                <w:bCs/>
                <w:sz w:val="24"/>
                <w:szCs w:val="24"/>
              </w:rPr>
              <w:t>T</w:t>
            </w:r>
            <w:r w:rsidRPr="008B62D7">
              <w:rPr>
                <w:rFonts w:ascii="Times New Roman" w:hAnsi="Times New Roman"/>
                <w:bCs/>
                <w:sz w:val="24"/>
                <w:szCs w:val="24"/>
                <w:vertAlign w:val="subscript"/>
              </w:rPr>
              <w:t>2</w:t>
            </w:r>
            <w:r w:rsidR="00A053AA" w:rsidRPr="008B62D7">
              <w:rPr>
                <w:rFonts w:ascii="Times New Roman" w:hAnsi="Times New Roman"/>
                <w:bCs/>
                <w:sz w:val="24"/>
                <w:szCs w:val="24"/>
              </w:rPr>
              <w:t>)</w:t>
            </w:r>
            <w:r w:rsidRPr="008B62D7">
              <w:rPr>
                <w:rFonts w:ascii="Times New Roman" w:hAnsi="Times New Roman"/>
                <w:bCs/>
                <w:sz w:val="24"/>
                <w:szCs w:val="24"/>
              </w:rPr>
              <w:t xml:space="preserve"> – „Darbų organizavimas ir komunikacija“</w:t>
            </w:r>
            <w:r w:rsidR="00357986" w:rsidRPr="008B62D7">
              <w:rPr>
                <w:rFonts w:ascii="Times New Roman" w:hAnsi="Times New Roman"/>
                <w:bCs/>
                <w:sz w:val="24"/>
                <w:szCs w:val="24"/>
              </w:rPr>
              <w:t xml:space="preserve"> (</w:t>
            </w:r>
            <w:r w:rsidR="00357986" w:rsidRPr="008B62D7">
              <w:rPr>
                <w:rFonts w:ascii="Times New Roman" w:hAnsi="Times New Roman"/>
                <w:sz w:val="24"/>
                <w:szCs w:val="24"/>
              </w:rPr>
              <w:t xml:space="preserve">Vertinami Rangovo darbo organizavimo aspektai, resursų valdymo planas; Rangovo pasiūlyto darbų tvarkaraščio realumas ir susietumas su rizikos valdymo planu, atitikimas Sutarties tikslams ir uždaviniams. Vertinami Rangovo taikomi vidinės (specialistų, jungtinės veiklos partnerių, subrangovų) ir išorinės (su </w:t>
            </w:r>
            <w:r w:rsidR="00C06F9A">
              <w:rPr>
                <w:rFonts w:ascii="Times New Roman" w:hAnsi="Times New Roman"/>
                <w:sz w:val="24"/>
                <w:szCs w:val="24"/>
              </w:rPr>
              <w:t>P</w:t>
            </w:r>
            <w:r w:rsidR="00C06F9A" w:rsidRPr="008B62D7">
              <w:rPr>
                <w:rFonts w:ascii="Times New Roman" w:hAnsi="Times New Roman"/>
                <w:sz w:val="24"/>
                <w:szCs w:val="24"/>
              </w:rPr>
              <w:t xml:space="preserve">erkančiąja </w:t>
            </w:r>
            <w:r w:rsidR="00357986" w:rsidRPr="008B62D7">
              <w:rPr>
                <w:rFonts w:ascii="Times New Roman" w:hAnsi="Times New Roman"/>
                <w:sz w:val="24"/>
                <w:szCs w:val="24"/>
              </w:rPr>
              <w:t>organizacija, suinteresuotomis institucijomis) komunikacijos planai, jų aiškumas, atitikimas sutarties specifikai, įgyvendinimo paprastumas)</w:t>
            </w:r>
            <w:r w:rsidRPr="008B62D7">
              <w:rPr>
                <w:rFonts w:ascii="Times New Roman" w:hAnsi="Times New Roman"/>
                <w:bCs/>
                <w:sz w:val="24"/>
                <w:szCs w:val="24"/>
              </w:rPr>
              <w:t xml:space="preserve">, </w:t>
            </w:r>
            <w:r w:rsidR="00A94D8C" w:rsidRPr="008B62D7">
              <w:rPr>
                <w:rFonts w:ascii="Times New Roman" w:hAnsi="Times New Roman"/>
                <w:bCs/>
                <w:sz w:val="24"/>
                <w:szCs w:val="24"/>
              </w:rPr>
              <w:t xml:space="preserve">bei </w:t>
            </w:r>
            <w:r w:rsidRPr="008B62D7">
              <w:rPr>
                <w:rFonts w:ascii="Times New Roman" w:hAnsi="Times New Roman"/>
                <w:bCs/>
                <w:sz w:val="24"/>
                <w:szCs w:val="24"/>
              </w:rPr>
              <w:t>jiems skirtas lyginamasis svoris ekonominio n</w:t>
            </w:r>
            <w:r w:rsidR="00A053AA" w:rsidRPr="008B62D7">
              <w:rPr>
                <w:rFonts w:ascii="Times New Roman" w:hAnsi="Times New Roman"/>
                <w:bCs/>
                <w:sz w:val="24"/>
                <w:szCs w:val="24"/>
              </w:rPr>
              <w:t>audingumo įvertinime po 10 balų</w:t>
            </w:r>
            <w:r w:rsidR="002E627D" w:rsidRPr="008B62D7">
              <w:rPr>
                <w:rFonts w:ascii="Times New Roman" w:hAnsi="Times New Roman"/>
                <w:bCs/>
                <w:sz w:val="24"/>
                <w:szCs w:val="24"/>
              </w:rPr>
              <w:t>.</w:t>
            </w:r>
          </w:p>
          <w:p w14:paraId="348B5C25" w14:textId="77777777" w:rsidR="00FE4469" w:rsidRPr="00FE4469" w:rsidRDefault="00FE4469" w:rsidP="00FE4469">
            <w:pPr>
              <w:tabs>
                <w:tab w:val="left" w:pos="0"/>
                <w:tab w:val="left" w:pos="993"/>
                <w:tab w:val="left" w:pos="1276"/>
              </w:tabs>
              <w:suppressAutoHyphens/>
              <w:autoSpaceDN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Įstatymo</w:t>
            </w:r>
            <w:r w:rsidRPr="00FE4469">
              <w:rPr>
                <w:rFonts w:ascii="Times New Roman" w:hAnsi="Times New Roman"/>
                <w:sz w:val="24"/>
                <w:szCs w:val="24"/>
              </w:rPr>
              <w:t xml:space="preserve"> 39 straipsnio 4 dalies 1 punktas nustato, kad Perkančioji organizacija gali pasiūlymus vertinti ekonomiškai naudingiausio pasiūlymo kriterijumi – „</w:t>
            </w:r>
            <w:bookmarkStart w:id="1" w:name="part_51a4e03b37df44ceb3fc6d2f6f329c19"/>
            <w:bookmarkEnd w:id="1"/>
            <w:r w:rsidRPr="00FE4469">
              <w:rPr>
                <w:rFonts w:ascii="Times New Roman" w:hAnsi="Times New Roman"/>
                <w:sz w:val="24"/>
                <w:szCs w:val="24"/>
              </w:rPr>
              <w:t>1) 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arba &lt;...&gt;“. Panaši nuostata numatyta ir VPĮ 90 straipsnio 2 dalyje, reglamentuojanči</w:t>
            </w:r>
            <w:r>
              <w:rPr>
                <w:rFonts w:ascii="Times New Roman" w:hAnsi="Times New Roman"/>
                <w:sz w:val="24"/>
                <w:szCs w:val="24"/>
              </w:rPr>
              <w:t>oj</w:t>
            </w:r>
            <w:r w:rsidRPr="00FE4469">
              <w:rPr>
                <w:rFonts w:ascii="Times New Roman" w:hAnsi="Times New Roman"/>
                <w:sz w:val="24"/>
                <w:szCs w:val="24"/>
              </w:rPr>
              <w:t>e supaprastintus pirkimus - „Ekonomiškai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Pr>
                <w:rFonts w:ascii="Times New Roman" w:hAnsi="Times New Roman"/>
                <w:sz w:val="24"/>
                <w:szCs w:val="24"/>
              </w:rPr>
              <w:t>.</w:t>
            </w:r>
            <w:r w:rsidRPr="00FE4469">
              <w:rPr>
                <w:rFonts w:ascii="Times New Roman" w:hAnsi="Times New Roman"/>
                <w:sz w:val="24"/>
                <w:szCs w:val="24"/>
              </w:rPr>
              <w:t xml:space="preserve"> </w:t>
            </w:r>
          </w:p>
          <w:p w14:paraId="615AD6E6" w14:textId="77777777" w:rsidR="00FE4469" w:rsidRPr="00FE4469" w:rsidRDefault="00FE4469" w:rsidP="00FE4469">
            <w:pPr>
              <w:suppressAutoHyphens/>
              <w:autoSpaceDN w:val="0"/>
              <w:spacing w:after="0" w:line="240" w:lineRule="auto"/>
              <w:ind w:firstLine="567"/>
              <w:jc w:val="both"/>
              <w:textAlignment w:val="baseline"/>
              <w:rPr>
                <w:rFonts w:ascii="Times New Roman" w:hAnsi="Times New Roman"/>
                <w:sz w:val="24"/>
                <w:szCs w:val="24"/>
              </w:rPr>
            </w:pPr>
            <w:r w:rsidRPr="00FE4469">
              <w:rPr>
                <w:rFonts w:ascii="Times New Roman" w:hAnsi="Times New Roman"/>
                <w:sz w:val="24"/>
                <w:szCs w:val="24"/>
              </w:rPr>
              <w:t xml:space="preserve">Taip pat paminėtina, kad pagal Viešųjų pirkimų pasiūlymų vertinimo ekonomiškai naudingiausio pasiūlymo arba mažiausios kainos vertinimo kriterijumi rekomendacijų, patvirtintų Tarnybos direktoriaus 2006 m. spalio 12 d. įsakymu Nr. 1S-53 </w:t>
            </w:r>
            <w:r w:rsidR="00010CDD" w:rsidRPr="00C36290">
              <w:rPr>
                <w:rFonts w:ascii="Times New Roman" w:hAnsi="Times New Roman"/>
                <w:sz w:val="24"/>
                <w:szCs w:val="24"/>
              </w:rPr>
              <w:t>(aktuali redakcija nuo 2010-07-01)</w:t>
            </w:r>
            <w:r w:rsidR="00010CDD" w:rsidRPr="00FE4469">
              <w:rPr>
                <w:rFonts w:ascii="Times New Roman" w:hAnsi="Times New Roman"/>
                <w:sz w:val="24"/>
                <w:szCs w:val="24"/>
              </w:rPr>
              <w:t xml:space="preserve"> </w:t>
            </w:r>
            <w:r w:rsidRPr="00FE4469">
              <w:rPr>
                <w:rFonts w:ascii="Times New Roman" w:hAnsi="Times New Roman"/>
                <w:sz w:val="24"/>
                <w:szCs w:val="24"/>
              </w:rPr>
              <w:t xml:space="preserve">(toliau – Rekomendacijos), </w:t>
            </w:r>
            <w:r w:rsidR="00010CDD">
              <w:rPr>
                <w:rFonts w:ascii="Times New Roman" w:hAnsi="Times New Roman"/>
                <w:sz w:val="24"/>
                <w:szCs w:val="24"/>
              </w:rPr>
              <w:t>3</w:t>
            </w:r>
            <w:r w:rsidRPr="00FE4469">
              <w:rPr>
                <w:rFonts w:ascii="Times New Roman" w:hAnsi="Times New Roman"/>
                <w:sz w:val="24"/>
                <w:szCs w:val="24"/>
              </w:rPr>
              <w:t xml:space="preserve"> punktą „&lt;...&gt;</w:t>
            </w:r>
            <w:r>
              <w:rPr>
                <w:rFonts w:ascii="Times New Roman" w:hAnsi="Times New Roman"/>
                <w:sz w:val="24"/>
                <w:szCs w:val="24"/>
              </w:rPr>
              <w:t xml:space="preserve"> </w:t>
            </w:r>
            <w:r w:rsidRPr="00FE4469">
              <w:rPr>
                <w:rFonts w:ascii="Times New Roman" w:hAnsi="Times New Roman"/>
                <w:sz w:val="24"/>
                <w:szCs w:val="24"/>
              </w:rPr>
              <w:t>Tais atvejais, kada mažiausia pasiūlyta kaina nebūtinai reikštų ekonomiškai naudingiausią pasiūlymą, reikėtų pasiūlymus vertinti pagal ekonomiškai naudingiausio pasiūlymo vertinimo kriterijų. Šis vertinimas ypač tinka tada, kai svarbu pasiekti, kad perkamas objektas (prekės, paslaugos ar darbai) būtų kuo kokybiškesnis, t. y. būtų kuo funkcionalesnis, estetiškesnis, pigesnis aptarnaujant ir plėtojant, efektyvesnis siekiant tų tikslų, kuriems perkančioji organizacija juos numato panaudoti, kad saugotų aplinką, kad būtų kuo trumpesni pristatymo ar atlikimo terminai ir ilgesnis garantijos laikotarpis”, pagal 11 punktą „Ekonomiškai naudingiausio pasiūlymo įvertinimui siūloma pasirinkti kriterijus, kurie padidintų perkamo objekto naudojimo efektyvumą: kainą (kaina yra privalomas kriterijus), kokybę, techninius privalumus, estetines, funkcines charakteristikas, aplinkosaugos charakteristikas, eksploatavimo išlaidas, efektyvumą, garantinį aptarnavimą ir techninę pagalbą, pristatymo datą, pristatymo laikotarpį arba užbaigimo terminą, taip pat kitus, tiesiogiai su pirkimo objektu susijusius kriterijus. Rekomenduojama vengti tokių kriterijų, kurie neturi tiesioginės įtakos pirkimo objektui, arba ta įtaka labai nedidelė. &lt;...&gt;“. Vadovaujantis Rekomendacijų 14 punktu „Nustatydama ekonomiškai naudingiausio pasiūlymo vertinimo kriterijų lyginamuosius svorius, perkančioji organizacija turi siekti racionaliai naudoti pirkimams skirtas lėšas ir įsigyti reikalingos kokybės prekes, paslaugas ar darbus priimtinomis sąlygomis už geriausią kainą“.</w:t>
            </w:r>
          </w:p>
          <w:p w14:paraId="74F31F20" w14:textId="77777777" w:rsidR="00FE4469" w:rsidRPr="00FE4469" w:rsidRDefault="00FE4469" w:rsidP="00FE4469">
            <w:pPr>
              <w:suppressAutoHyphens/>
              <w:autoSpaceDN w:val="0"/>
              <w:spacing w:after="0" w:line="240" w:lineRule="auto"/>
              <w:ind w:firstLine="567"/>
              <w:jc w:val="both"/>
              <w:textAlignment w:val="baseline"/>
            </w:pPr>
            <w:r w:rsidRPr="00FE4469">
              <w:rPr>
                <w:rFonts w:ascii="Times New Roman" w:hAnsi="Times New Roman"/>
                <w:color w:val="000000"/>
                <w:sz w:val="24"/>
                <w:szCs w:val="24"/>
              </w:rPr>
              <w:t>Ekonomiškai naudingiausio pasiūlymo vertinimo kriterijų samprata yra plėtojama ir teismų praktikoje. Teismai konstatuoja, kad e</w:t>
            </w:r>
            <w:r w:rsidRPr="00FE4469">
              <w:rPr>
                <w:rFonts w:ascii="Times New Roman" w:hAnsi="Times New Roman"/>
                <w:sz w:val="24"/>
              </w:rPr>
              <w:t xml:space="preserve">konomiškai naudingiausias pasiūlymas, kurį sudaro įvairių kokybinių ir kiekybinių veiksnių visuma, gali apimti įvairiausius su sutartimi susijusius elementus (pvz., kainą, sutarties įvykdymo laiką, kaštus, atsiperkamumą). Sąsaja su pirkimo dalyku turi būti suprantama taip, kad atitinkamas kriterijus susijęs tik su produktu plačiąja prasme (nereikalaujama, kad sutarties sudarymo kriterijus būtų susijęs su vidine produkto charakteristika, t. y. elementu, kuris materialine prasme įsikūnija šiame produkte, pavyzdžiui, iš žaliųjų šaltinių pagaminta elektra savo fizikinėmis savybėmis nesiskirs nuo pagamintos didelės taršos įrenginiais </w:t>
            </w:r>
            <w:r w:rsidRPr="00FE4469">
              <w:rPr>
                <w:rFonts w:ascii="Times New Roman" w:hAnsi="Times New Roman"/>
                <w:color w:val="000000"/>
                <w:sz w:val="24"/>
                <w:szCs w:val="24"/>
              </w:rPr>
              <w:t xml:space="preserve">(Europos Sąjungos </w:t>
            </w:r>
            <w:r w:rsidRPr="00FE4469">
              <w:rPr>
                <w:rFonts w:ascii="Times New Roman" w:hAnsi="Times New Roman"/>
                <w:color w:val="000000"/>
                <w:sz w:val="24"/>
                <w:szCs w:val="24"/>
              </w:rPr>
              <w:lastRenderedPageBreak/>
              <w:t>Teisingumo Teismo 2012-05-10 sprendimas C-368/10, Lietuvos Aukščiausiojo Teismo 2015-</w:t>
            </w:r>
            <w:bookmarkStart w:id="2" w:name="nTP1_9000002"/>
            <w:r w:rsidRPr="00FE4469">
              <w:rPr>
                <w:rFonts w:ascii="Times New Roman" w:hAnsi="Times New Roman"/>
                <w:color w:val="000000"/>
                <w:sz w:val="24"/>
                <w:szCs w:val="24"/>
              </w:rPr>
              <w:t>10-16 nutartis civilinėje byloje</w:t>
            </w:r>
            <w:r w:rsidRPr="00FE4469">
              <w:rPr>
                <w:rFonts w:ascii="Times New Roman" w:hAnsi="Times New Roman"/>
                <w:sz w:val="24"/>
                <w:szCs w:val="24"/>
              </w:rPr>
              <w:t xml:space="preserve"> 3K-3-543-415/2015</w:t>
            </w:r>
            <w:bookmarkEnd w:id="2"/>
            <w:r w:rsidRPr="00FE4469">
              <w:rPr>
                <w:rFonts w:ascii="Times New Roman" w:hAnsi="Times New Roman"/>
                <w:color w:val="000000"/>
                <w:sz w:val="24"/>
                <w:szCs w:val="24"/>
              </w:rPr>
              <w:t>).</w:t>
            </w:r>
          </w:p>
          <w:p w14:paraId="2DFE0C35" w14:textId="77777777" w:rsidR="00FE4469" w:rsidRPr="00FB665A" w:rsidRDefault="00FE4469" w:rsidP="00FE4469">
            <w:pPr>
              <w:suppressAutoHyphens/>
              <w:autoSpaceDN w:val="0"/>
              <w:spacing w:after="0" w:line="240" w:lineRule="auto"/>
              <w:ind w:firstLine="567"/>
              <w:jc w:val="both"/>
              <w:textAlignment w:val="baseline"/>
              <w:rPr>
                <w:i/>
              </w:rPr>
            </w:pPr>
            <w:r w:rsidRPr="00FE4469">
              <w:rPr>
                <w:rFonts w:ascii="Times New Roman" w:hAnsi="Times New Roman"/>
                <w:color w:val="000000"/>
                <w:sz w:val="24"/>
                <w:szCs w:val="24"/>
              </w:rPr>
              <w:t>Kaip Tarnyba pažymėjo savo išvadose civilinėse bylose (2017-02-10 raštas Nr. 4S-465, civilinė byla Nr. e2-533-856/2017, ar 2017-05-02 raštas Nr. 4S-1396, civilinė byla Nr. e2-</w:t>
            </w:r>
            <w:r w:rsidRPr="00FE4469">
              <w:rPr>
                <w:rFonts w:ascii="Times New Roman" w:hAnsi="Times New Roman"/>
                <w:sz w:val="24"/>
                <w:szCs w:val="24"/>
              </w:rPr>
              <w:t>736-357/2017</w:t>
            </w:r>
            <w:r w:rsidRPr="00FE4469">
              <w:rPr>
                <w:rFonts w:ascii="Times New Roman" w:hAnsi="Times New Roman"/>
                <w:color w:val="000000"/>
                <w:sz w:val="24"/>
                <w:szCs w:val="24"/>
              </w:rPr>
              <w:t xml:space="preserve">) ekonominio naudingumo kriterijai, tokie kaip </w:t>
            </w:r>
            <w:r w:rsidRPr="00FE4469">
              <w:rPr>
                <w:rFonts w:ascii="Times New Roman" w:hAnsi="Times New Roman"/>
                <w:sz w:val="24"/>
                <w:szCs w:val="24"/>
              </w:rPr>
              <w:t>rizikos valdymas ir aplinkos supratimas, darbų organizavimas ir komunikacija, aplinkosaugos priemonės ir vadybos sistemų taikymas, yra dažniausiai glaudžiai susiję su viešaisiais statybų darbų pirkimų objektais, ir gali būti ekonominio naudingumo vertinimo kriterijaus parametrais. Tačiau užtikrinant Įstatymo 3 straipsnio 1 dalyje įtvirtintų principų laikymąsi ir 3 straipsnio 2 dalyje nustatyto pirkimų tikslo siekimo, minėti ekonominio naudingumo kriterijai negali būti kaip savarankiškas viešojo pirkimo institutas</w:t>
            </w:r>
            <w:r w:rsidRPr="00FB665A">
              <w:rPr>
                <w:rFonts w:ascii="Times New Roman" w:hAnsi="Times New Roman"/>
                <w:i/>
                <w:sz w:val="24"/>
                <w:szCs w:val="24"/>
              </w:rPr>
              <w:t xml:space="preserve">, o glaudžiai susijęs su viešojo pirkimo – pardavimo sutartyje nustatytais įsipareigojimais ir jų kontrolės mechanizmu. </w:t>
            </w:r>
          </w:p>
          <w:p w14:paraId="06271138" w14:textId="77777777" w:rsidR="00113758" w:rsidRPr="00992D12" w:rsidRDefault="00113758" w:rsidP="00113758">
            <w:pPr>
              <w:spacing w:after="0" w:line="240" w:lineRule="auto"/>
              <w:ind w:firstLine="567"/>
              <w:jc w:val="both"/>
              <w:rPr>
                <w:rFonts w:ascii="Times New Roman" w:hAnsi="Times New Roman"/>
                <w:sz w:val="24"/>
                <w:szCs w:val="24"/>
              </w:rPr>
            </w:pPr>
            <w:r>
              <w:rPr>
                <w:rFonts w:ascii="Times New Roman" w:hAnsi="Times New Roman"/>
                <w:sz w:val="24"/>
                <w:szCs w:val="24"/>
              </w:rPr>
              <w:t>P</w:t>
            </w:r>
            <w:r w:rsidRPr="00992D12">
              <w:rPr>
                <w:rFonts w:ascii="Times New Roman" w:hAnsi="Times New Roman"/>
                <w:sz w:val="24"/>
                <w:szCs w:val="24"/>
              </w:rPr>
              <w:t>erkančioji organizacija</w:t>
            </w:r>
            <w:r>
              <w:rPr>
                <w:rFonts w:ascii="Times New Roman" w:hAnsi="Times New Roman"/>
                <w:sz w:val="24"/>
                <w:szCs w:val="24"/>
              </w:rPr>
              <w:t>,</w:t>
            </w:r>
            <w:r w:rsidRPr="00992D12">
              <w:rPr>
                <w:rFonts w:ascii="Times New Roman" w:hAnsi="Times New Roman"/>
                <w:sz w:val="24"/>
                <w:szCs w:val="24"/>
              </w:rPr>
              <w:t xml:space="preserve"> nusprendusi vykdyti </w:t>
            </w:r>
            <w:r>
              <w:rPr>
                <w:rFonts w:ascii="Times New Roman" w:hAnsi="Times New Roman"/>
                <w:sz w:val="24"/>
                <w:szCs w:val="24"/>
              </w:rPr>
              <w:t>viešuosius pirkimus</w:t>
            </w:r>
            <w:r w:rsidRPr="00992D12">
              <w:rPr>
                <w:rFonts w:ascii="Times New Roman" w:hAnsi="Times New Roman"/>
                <w:sz w:val="24"/>
                <w:szCs w:val="24"/>
              </w:rPr>
              <w:t xml:space="preserve"> pagal ekonomiškai naudingiausi</w:t>
            </w:r>
            <w:r>
              <w:rPr>
                <w:rFonts w:ascii="Times New Roman" w:hAnsi="Times New Roman"/>
                <w:sz w:val="24"/>
                <w:szCs w:val="24"/>
              </w:rPr>
              <w:t>o pasiūlymo vertinimo kriterijų</w:t>
            </w:r>
            <w:r w:rsidRPr="00992D12">
              <w:rPr>
                <w:rFonts w:ascii="Times New Roman" w:hAnsi="Times New Roman"/>
                <w:sz w:val="24"/>
                <w:szCs w:val="24"/>
              </w:rPr>
              <w:t>, pirmiausiai turi įvertini, ar pasirinkti ekonomiškai naudingiausio pasiūlymo vertinimo kriterijai atspindi potencialią ekonominę naudą, ar padidins perkamo objekto naudojimo efektyvumą, ar bus pasiekti konkretūs pirkimo tikslai, o tokie sprendimai</w:t>
            </w:r>
            <w:r>
              <w:rPr>
                <w:rFonts w:ascii="Times New Roman" w:hAnsi="Times New Roman"/>
                <w:sz w:val="24"/>
                <w:szCs w:val="24"/>
              </w:rPr>
              <w:t xml:space="preserve"> turi būti </w:t>
            </w:r>
            <w:r w:rsidRPr="00992D12">
              <w:rPr>
                <w:rFonts w:ascii="Times New Roman" w:hAnsi="Times New Roman"/>
                <w:sz w:val="24"/>
                <w:szCs w:val="24"/>
              </w:rPr>
              <w:t>motyvuoti iki viešojo pirkimo pradžios, t. y. perkančioji organizacija turėtų turėti pagrindžiančius dokumentus (pvz.: pirkimo paraiškoje, viešojo pirkimo komisijos posėdžio protokole, pirkimų organizatoriaus pildomuose ar kituose dokumentuose) dėl kokių priežasčių pasirinkti vieni ar kiti ekonomiškai naudingiausio pasiūlymo vertinimo kriterijai, jų parametrai, kodėl jiems suteikti vieni ar kiti lyginamieji svoriai, ir kokia jų įtaka perkamo objekto naudojimo efektyvumui bei potencialiai ekonominei naudai.</w:t>
            </w:r>
          </w:p>
          <w:p w14:paraId="23CC3B28" w14:textId="77777777" w:rsidR="00FE4469" w:rsidRPr="00FE4469" w:rsidRDefault="00FE4469" w:rsidP="00FE4469">
            <w:pPr>
              <w:suppressAutoHyphens/>
              <w:autoSpaceDN w:val="0"/>
              <w:spacing w:after="0" w:line="240" w:lineRule="auto"/>
              <w:ind w:firstLine="567"/>
              <w:jc w:val="both"/>
              <w:textAlignment w:val="baseline"/>
              <w:rPr>
                <w:rFonts w:ascii="Times New Roman" w:hAnsi="Times New Roman"/>
                <w:sz w:val="24"/>
                <w:szCs w:val="24"/>
              </w:rPr>
            </w:pPr>
            <w:r w:rsidRPr="00FE4469">
              <w:rPr>
                <w:rFonts w:ascii="Times New Roman" w:hAnsi="Times New Roman"/>
                <w:sz w:val="24"/>
                <w:szCs w:val="24"/>
              </w:rPr>
              <w:t>Tuo pačiu, perkančioji organizacija viešojo pirkimo-pardavimo sutartyje turi aiškiai ir tiksliai nustatyti kaip bus kontroliuojamos tiekėjų pateiktuose aprašymuose (dėl ekonominio naudingumo vertinimo kriterijų) nurodytų priemonių taikymas realiai įgyvendinat viešojo pirkimo – pardavimo sutartį. Viešojo pirkimo-pardavimo sutartyje nenustačius aiškių siūlomų priemonių kontrolės mechanizmų ir nuostatų dėl esminių sutarties sąlygų pažeidimų, pažeidžiamas Įstatymo 3 straipsnio 1 dalyje įtvirtinto skaidrumo principas ir 3 straipsnio 2 dalyje nustatyto pirkimų tikslo siekimas.</w:t>
            </w:r>
          </w:p>
          <w:p w14:paraId="6D062EA4" w14:textId="77777777" w:rsidR="00FE4469" w:rsidRPr="00FE4469" w:rsidRDefault="00FE4469" w:rsidP="00FE4469">
            <w:pPr>
              <w:suppressAutoHyphens/>
              <w:autoSpaceDN w:val="0"/>
              <w:spacing w:after="0" w:line="240" w:lineRule="auto"/>
              <w:ind w:firstLine="567"/>
              <w:jc w:val="both"/>
              <w:textAlignment w:val="baseline"/>
            </w:pPr>
            <w:r w:rsidRPr="00FE4469">
              <w:rPr>
                <w:rFonts w:ascii="Times New Roman" w:hAnsi="Times New Roman"/>
                <w:sz w:val="24"/>
                <w:szCs w:val="24"/>
              </w:rPr>
              <w:t>Be to, perkant standartinius darbus, kurių vykdymą reglamentuoja įstatymai (pvz.: Lietuvos Respublikos statybos įstatymas) ir poįstatyminiai aktai (pvz.: Statybos techniniai reglamentai ir kt.), minėtų kriterijų bendrą lyginamąjį svorį bendroje sumoje nustačius didesnį kaip 5 balai (nesant detalių gautinos ekonominės naudos paskaičiavimų, kurie pagrįstų didesnio balo suteikimą), neužriktina Įstatymo 3 straipsnio 2 dalyje nustatyto pirkimų tikslo – racionalaus lėšų naudojimo, siekimo.</w:t>
            </w:r>
          </w:p>
          <w:p w14:paraId="213843DD" w14:textId="77777777" w:rsidR="00FE4469" w:rsidRPr="004D390A" w:rsidRDefault="00FE4469" w:rsidP="00FE4469">
            <w:pPr>
              <w:tabs>
                <w:tab w:val="left" w:pos="0"/>
                <w:tab w:val="left" w:pos="993"/>
                <w:tab w:val="left" w:pos="1276"/>
              </w:tabs>
              <w:suppressAutoHyphens/>
              <w:autoSpaceDN w:val="0"/>
              <w:spacing w:after="0" w:line="240" w:lineRule="auto"/>
              <w:ind w:firstLine="567"/>
              <w:jc w:val="both"/>
              <w:textAlignment w:val="baseline"/>
              <w:rPr>
                <w:rFonts w:ascii="Times New Roman" w:hAnsi="Times New Roman"/>
                <w:bCs/>
                <w:sz w:val="24"/>
                <w:szCs w:val="24"/>
              </w:rPr>
            </w:pPr>
            <w:r w:rsidRPr="004D390A">
              <w:rPr>
                <w:rFonts w:ascii="Times New Roman" w:hAnsi="Times New Roman"/>
                <w:bCs/>
                <w:sz w:val="24"/>
                <w:szCs w:val="24"/>
              </w:rPr>
              <w:t>Šiuo konkrečiu atveju:</w:t>
            </w:r>
          </w:p>
          <w:p w14:paraId="0690398C" w14:textId="77777777" w:rsidR="00FE4469" w:rsidRPr="00FB665A" w:rsidRDefault="00FE4469" w:rsidP="00FE4469">
            <w:pPr>
              <w:numPr>
                <w:ilvl w:val="0"/>
                <w:numId w:val="41"/>
              </w:numPr>
              <w:tabs>
                <w:tab w:val="left" w:pos="0"/>
                <w:tab w:val="left" w:pos="993"/>
                <w:tab w:val="left" w:pos="1276"/>
              </w:tabs>
              <w:suppressAutoHyphens/>
              <w:autoSpaceDN w:val="0"/>
              <w:spacing w:after="0" w:line="240" w:lineRule="auto"/>
              <w:ind w:left="57" w:firstLine="510"/>
              <w:jc w:val="both"/>
              <w:textAlignment w:val="baseline"/>
              <w:rPr>
                <w:rFonts w:ascii="Times New Roman" w:hAnsi="Times New Roman"/>
                <w:sz w:val="24"/>
                <w:szCs w:val="24"/>
              </w:rPr>
            </w:pPr>
            <w:r w:rsidRPr="004D390A">
              <w:rPr>
                <w:rFonts w:ascii="Times New Roman" w:hAnsi="Times New Roman"/>
                <w:bCs/>
                <w:sz w:val="24"/>
                <w:szCs w:val="24"/>
              </w:rPr>
              <w:t>Perka</w:t>
            </w:r>
            <w:r w:rsidRPr="002129D0">
              <w:rPr>
                <w:rFonts w:ascii="Times New Roman" w:hAnsi="Times New Roman"/>
                <w:bCs/>
                <w:sz w:val="24"/>
                <w:szCs w:val="24"/>
              </w:rPr>
              <w:t>nčioji organizacija nepateikė dokumentų, įrodančių, kad iki viešojo pirkimo pradžios (</w:t>
            </w:r>
            <w:r w:rsidR="00113758" w:rsidRPr="00FB665A">
              <w:rPr>
                <w:rFonts w:ascii="Times New Roman" w:hAnsi="Times New Roman"/>
                <w:bCs/>
                <w:sz w:val="24"/>
                <w:szCs w:val="24"/>
              </w:rPr>
              <w:t>Komisijos posėdžio</w:t>
            </w:r>
            <w:r w:rsidRPr="004D390A">
              <w:rPr>
                <w:rFonts w:ascii="Times New Roman" w:hAnsi="Times New Roman"/>
                <w:bCs/>
                <w:sz w:val="24"/>
                <w:szCs w:val="24"/>
              </w:rPr>
              <w:t xml:space="preserve"> protokolas, kuriuo tvirtinami dok</w:t>
            </w:r>
            <w:r w:rsidR="00113758" w:rsidRPr="004D390A">
              <w:rPr>
                <w:rFonts w:ascii="Times New Roman" w:hAnsi="Times New Roman"/>
                <w:bCs/>
                <w:sz w:val="24"/>
                <w:szCs w:val="24"/>
              </w:rPr>
              <w:t>umentai</w:t>
            </w:r>
            <w:r w:rsidRPr="002129D0">
              <w:rPr>
                <w:rFonts w:ascii="Times New Roman" w:hAnsi="Times New Roman"/>
                <w:bCs/>
                <w:sz w:val="24"/>
                <w:szCs w:val="24"/>
              </w:rPr>
              <w:t>, paraiška</w:t>
            </w:r>
            <w:r w:rsidR="00113758" w:rsidRPr="002129D0">
              <w:rPr>
                <w:rFonts w:ascii="Times New Roman" w:hAnsi="Times New Roman"/>
                <w:bCs/>
                <w:sz w:val="24"/>
                <w:szCs w:val="24"/>
              </w:rPr>
              <w:t xml:space="preserve"> pirkimui ir kt.</w:t>
            </w:r>
            <w:r w:rsidRPr="002129D0">
              <w:rPr>
                <w:rFonts w:ascii="Times New Roman" w:hAnsi="Times New Roman"/>
                <w:bCs/>
                <w:sz w:val="24"/>
                <w:szCs w:val="24"/>
              </w:rPr>
              <w:t>) įvertino ekonominio naudingumo vertinimo kriterijų parametrų svarbą pirkimo tikslui</w:t>
            </w:r>
            <w:r w:rsidR="00113758" w:rsidRPr="00C537B7">
              <w:rPr>
                <w:rFonts w:ascii="Times New Roman" w:hAnsi="Times New Roman"/>
                <w:bCs/>
                <w:sz w:val="24"/>
                <w:szCs w:val="24"/>
              </w:rPr>
              <w:t>;</w:t>
            </w:r>
          </w:p>
          <w:p w14:paraId="65FC758A" w14:textId="77777777" w:rsidR="00FE4469" w:rsidRPr="00FB665A" w:rsidRDefault="00FE4469" w:rsidP="00FE4469">
            <w:pPr>
              <w:numPr>
                <w:ilvl w:val="0"/>
                <w:numId w:val="41"/>
              </w:numPr>
              <w:tabs>
                <w:tab w:val="left" w:pos="0"/>
                <w:tab w:val="left" w:pos="993"/>
                <w:tab w:val="left" w:pos="1276"/>
              </w:tabs>
              <w:suppressAutoHyphens/>
              <w:autoSpaceDN w:val="0"/>
              <w:spacing w:after="0" w:line="240" w:lineRule="auto"/>
              <w:ind w:left="57" w:firstLine="510"/>
              <w:jc w:val="both"/>
              <w:textAlignment w:val="baseline"/>
              <w:rPr>
                <w:rFonts w:ascii="Times New Roman" w:hAnsi="Times New Roman"/>
                <w:sz w:val="24"/>
                <w:szCs w:val="24"/>
              </w:rPr>
            </w:pPr>
            <w:r w:rsidRPr="004D390A">
              <w:rPr>
                <w:rFonts w:ascii="Times New Roman" w:hAnsi="Times New Roman"/>
                <w:sz w:val="24"/>
                <w:szCs w:val="24"/>
              </w:rPr>
              <w:t>Perkančioji organizacija nepateikė motyvų ir skaičiavimų dėl Pirkimo sąlygų 10.4 punkte nustatytų pasiūlymų ekonominio naudingumo vertinimų kriterijams (T</w:t>
            </w:r>
            <w:r w:rsidRPr="004D390A">
              <w:rPr>
                <w:rFonts w:ascii="Times New Roman" w:hAnsi="Times New Roman"/>
                <w:sz w:val="24"/>
                <w:szCs w:val="24"/>
                <w:vertAlign w:val="subscript"/>
              </w:rPr>
              <w:t>1</w:t>
            </w:r>
            <w:r w:rsidRPr="002129D0">
              <w:rPr>
                <w:rFonts w:ascii="Times New Roman" w:hAnsi="Times New Roman"/>
                <w:sz w:val="24"/>
                <w:szCs w:val="24"/>
              </w:rPr>
              <w:t xml:space="preserve"> ir T</w:t>
            </w:r>
            <w:r w:rsidRPr="002129D0">
              <w:rPr>
                <w:rFonts w:ascii="Times New Roman" w:hAnsi="Times New Roman"/>
                <w:sz w:val="24"/>
                <w:szCs w:val="24"/>
                <w:vertAlign w:val="subscript"/>
              </w:rPr>
              <w:t>2</w:t>
            </w:r>
            <w:r w:rsidRPr="00C537B7">
              <w:rPr>
                <w:rFonts w:ascii="Times New Roman" w:hAnsi="Times New Roman"/>
                <w:sz w:val="24"/>
                <w:szCs w:val="24"/>
              </w:rPr>
              <w:t>) suteikto 20 balų reikšmės ir tokio</w:t>
            </w:r>
            <w:r w:rsidRPr="00043EC6">
              <w:rPr>
                <w:rFonts w:ascii="Times New Roman" w:hAnsi="Times New Roman"/>
                <w:sz w:val="24"/>
                <w:szCs w:val="24"/>
              </w:rPr>
              <w:t xml:space="preserve">s didelės reikšmės įtakos Įstatymo 3 straipsnio 2 dalyje nustatytam pirkimų tikslui. </w:t>
            </w:r>
          </w:p>
          <w:p w14:paraId="21362C7D" w14:textId="77777777" w:rsidR="00FE4469" w:rsidRPr="00FE4469" w:rsidRDefault="00FE4469" w:rsidP="00FE4469">
            <w:pPr>
              <w:tabs>
                <w:tab w:val="left" w:pos="0"/>
                <w:tab w:val="left" w:pos="993"/>
                <w:tab w:val="left" w:pos="1276"/>
              </w:tabs>
              <w:suppressAutoHyphens/>
              <w:autoSpaceDN w:val="0"/>
              <w:spacing w:after="0" w:line="240" w:lineRule="auto"/>
              <w:ind w:firstLine="567"/>
              <w:jc w:val="both"/>
              <w:textAlignment w:val="baseline"/>
            </w:pPr>
            <w:r w:rsidRPr="004D390A">
              <w:rPr>
                <w:rFonts w:ascii="Times New Roman" w:hAnsi="Times New Roman"/>
                <w:sz w:val="24"/>
                <w:szCs w:val="24"/>
              </w:rPr>
              <w:t xml:space="preserve">Tarnyba 2017-05-23 raštu Nr. 4S-1628 ir pakartotinai 2017-06-27 raštu Nr. 4S-2016 kreipėsi į </w:t>
            </w:r>
            <w:r w:rsidR="00113758" w:rsidRPr="004D390A">
              <w:rPr>
                <w:rFonts w:ascii="Times New Roman" w:hAnsi="Times New Roman"/>
                <w:sz w:val="24"/>
                <w:szCs w:val="24"/>
              </w:rPr>
              <w:t>P</w:t>
            </w:r>
            <w:r w:rsidRPr="002129D0">
              <w:rPr>
                <w:rFonts w:ascii="Times New Roman" w:hAnsi="Times New Roman"/>
                <w:sz w:val="24"/>
                <w:szCs w:val="24"/>
              </w:rPr>
              <w:t>erkančiąją organizaciją su prašymu pagrįsti Pirkimo sąlygų 10.4 punkte nustatytų pasiūlymų ekonominio</w:t>
            </w:r>
            <w:r w:rsidRPr="00FE4469">
              <w:rPr>
                <w:rFonts w:ascii="Times New Roman" w:hAnsi="Times New Roman"/>
                <w:sz w:val="24"/>
                <w:szCs w:val="24"/>
              </w:rPr>
              <w:t xml:space="preserve"> naudingumo vertinimų kriterijų (T</w:t>
            </w:r>
            <w:r w:rsidRPr="00FE4469">
              <w:rPr>
                <w:rFonts w:ascii="Times New Roman" w:hAnsi="Times New Roman"/>
                <w:sz w:val="24"/>
                <w:szCs w:val="24"/>
                <w:vertAlign w:val="subscript"/>
              </w:rPr>
              <w:t>1</w:t>
            </w:r>
            <w:r w:rsidRPr="00FE4469">
              <w:rPr>
                <w:rFonts w:ascii="Times New Roman" w:hAnsi="Times New Roman"/>
                <w:sz w:val="24"/>
                <w:szCs w:val="24"/>
              </w:rPr>
              <w:t xml:space="preserve"> ir T</w:t>
            </w:r>
            <w:r w:rsidRPr="00FE4469">
              <w:rPr>
                <w:rFonts w:ascii="Times New Roman" w:hAnsi="Times New Roman"/>
                <w:sz w:val="24"/>
                <w:szCs w:val="24"/>
                <w:vertAlign w:val="subscript"/>
              </w:rPr>
              <w:t>2</w:t>
            </w:r>
            <w:r w:rsidRPr="00FE4469">
              <w:rPr>
                <w:rFonts w:ascii="Times New Roman" w:hAnsi="Times New Roman"/>
                <w:sz w:val="24"/>
                <w:szCs w:val="24"/>
              </w:rPr>
              <w:t>) ekonominę naudą Pirkimo objektui, pateikti tai pagrindžiančius paaiškinimus (skaičiavimus).</w:t>
            </w:r>
          </w:p>
          <w:p w14:paraId="36558CD4" w14:textId="77777777" w:rsidR="00FE4469" w:rsidRPr="00FE4469" w:rsidRDefault="00FE4469" w:rsidP="00FE4469">
            <w:pPr>
              <w:suppressAutoHyphens/>
              <w:autoSpaceDN w:val="0"/>
              <w:spacing w:after="0" w:line="240" w:lineRule="auto"/>
              <w:ind w:left="57" w:firstLine="510"/>
              <w:jc w:val="both"/>
              <w:textAlignment w:val="baseline"/>
            </w:pPr>
            <w:r w:rsidRPr="00FE4469">
              <w:rPr>
                <w:rFonts w:ascii="Times New Roman" w:hAnsi="Times New Roman"/>
                <w:sz w:val="24"/>
                <w:szCs w:val="24"/>
              </w:rPr>
              <w:t xml:space="preserve">Perkančioji organizacija, atsakydama į Tarnybos prašymą 2017-07-13 rašte Nr. (5.54) R2-2024 nurodė, kad „Gebėjimas suprasti ir valdyti su projektavimo ar/ir statybos procesais susijusias rizikas yra vienas esminiu, efektyviai dirbančio konkurso dalyvio bruožų. Toks konkurso dalyvis yra susidūręs su finansavimo trūkumo, subrangovų vėlavimo, besikeičiančio teisinio reguliavimo ar projekto apimties, meteorologinėmis bei daugeliu kitų rizikų ir praktikoje taiko efektyvias šių </w:t>
            </w:r>
            <w:r w:rsidRPr="00FE4469">
              <w:rPr>
                <w:rFonts w:ascii="Times New Roman" w:hAnsi="Times New Roman"/>
                <w:sz w:val="24"/>
                <w:szCs w:val="24"/>
              </w:rPr>
              <w:lastRenderedPageBreak/>
              <w:t>rizikų mažinimo priemones. Priešingai, tokių įgūdžių neturintys konkurso dalyviai yra pernelyg pažeidžiami vidinių ir išorinių rizikų, dažnai pasireiškiančių įgyvendinant projektus nuolat besikeičiančioje vandentvarkos aplinkoje. Tikėtina, kad rizikų laiku neidentifikuojantis, veiksmingų jų valdymo priemonių netaikantis ir vandentvarkos projektų specifikos išmanymo nedemonstruojantis konkurso dalyvis, iškilus jam nenumatytoms aplinkybėms nepajėgs esamo biudžeto rėmuose darbų atlikti kokybiškai ir laiku ar įgyvendinti projekto apskritai. Projektuotojų ir/ar rangovo gebėjimas profesionaliai organizuoti darbus bei sklandžiai vykdyti vidinę ir išorinę komunikaciją yra ypatingai reikšmingi darbų kokybei, visų statybos procesų efektyvumui. Optimaliai valdomi žmogiškieji ir techniniai resursai, objekto specifiką ir rizikas įvertinantis darbų tvarkaraštis, šiuolaikinės vadybos principus atitinkantys darbo organizavimo aspektai be aukštesnės darbų kokybės duoda ir kitą ekonominę naudą – mažesni eismo sutrikdymai, didesnis visuomenės pasitenkinimas, neatsiranda būtinybės perkančiosios organizacijos darbuotojams ir kitoms suinteresuotoms šalims projekto įgyvendinimui skirti neproporcingai daug laiko ir t. t.“</w:t>
            </w:r>
            <w:r w:rsidR="006C5F3A">
              <w:rPr>
                <w:rFonts w:ascii="Times New Roman" w:hAnsi="Times New Roman"/>
                <w:sz w:val="24"/>
                <w:szCs w:val="24"/>
              </w:rPr>
              <w:t xml:space="preserve">, </w:t>
            </w:r>
            <w:r w:rsidRPr="00FE4469">
              <w:rPr>
                <w:rFonts w:ascii="Times New Roman" w:hAnsi="Times New Roman"/>
                <w:sz w:val="24"/>
                <w:szCs w:val="24"/>
              </w:rPr>
              <w:t xml:space="preserve"> </w:t>
            </w:r>
            <w:r w:rsidR="006C5F3A">
              <w:rPr>
                <w:rFonts w:ascii="Times New Roman" w:hAnsi="Times New Roman"/>
                <w:sz w:val="24"/>
                <w:szCs w:val="24"/>
              </w:rPr>
              <w:t>t</w:t>
            </w:r>
            <w:r w:rsidRPr="00FE4469">
              <w:rPr>
                <w:rFonts w:ascii="Times New Roman" w:hAnsi="Times New Roman"/>
                <w:sz w:val="24"/>
                <w:szCs w:val="24"/>
              </w:rPr>
              <w:t xml:space="preserve">. y. </w:t>
            </w:r>
            <w:r w:rsidR="006C5F3A">
              <w:rPr>
                <w:rFonts w:ascii="Times New Roman" w:hAnsi="Times New Roman"/>
                <w:sz w:val="24"/>
                <w:szCs w:val="24"/>
              </w:rPr>
              <w:t>P</w:t>
            </w:r>
            <w:r w:rsidRPr="00FE4469">
              <w:rPr>
                <w:rFonts w:ascii="Times New Roman" w:hAnsi="Times New Roman"/>
                <w:sz w:val="24"/>
                <w:szCs w:val="24"/>
              </w:rPr>
              <w:t>erkančioji organizac</w:t>
            </w:r>
            <w:r w:rsidR="006C5F3A">
              <w:rPr>
                <w:rFonts w:ascii="Times New Roman" w:hAnsi="Times New Roman"/>
                <w:sz w:val="24"/>
                <w:szCs w:val="24"/>
              </w:rPr>
              <w:t>ija minėtus kriterijus bandė grį</w:t>
            </w:r>
            <w:r w:rsidRPr="00FE4469">
              <w:rPr>
                <w:rFonts w:ascii="Times New Roman" w:hAnsi="Times New Roman"/>
                <w:sz w:val="24"/>
                <w:szCs w:val="24"/>
              </w:rPr>
              <w:t xml:space="preserve">sti tik aprašomojo pobūdžio informacija (tikėtinais procesais ar prielaidomis), tačiau nustatydama ekonominio naudingumo kriterijus ir ypač jų lyginamuosius svorius, perkančioji organizacija privalo vadovautis Įstatymo ir Taisyklių nuostatomis ir įsitikinti, kad, </w:t>
            </w:r>
            <w:r w:rsidRPr="00FE4469">
              <w:rPr>
                <w:rFonts w:ascii="Times New Roman" w:hAnsi="Times New Roman"/>
                <w:sz w:val="24"/>
                <w:szCs w:val="24"/>
                <w:u w:val="single"/>
              </w:rPr>
              <w:t>vertinant pasiūlymus</w:t>
            </w:r>
            <w:r w:rsidRPr="00FE4469">
              <w:rPr>
                <w:rFonts w:ascii="Times New Roman" w:hAnsi="Times New Roman"/>
                <w:sz w:val="24"/>
                <w:szCs w:val="24"/>
              </w:rPr>
              <w:t xml:space="preserve"> pagal pasirinktus kriterijus, bus pasiektas pirkimo tikslas – geriausias rezultatas (t. y. perkančioji organizacija išsirinks ekonomiškai naudingiausią pasiūlymą).</w:t>
            </w:r>
          </w:p>
          <w:p w14:paraId="0B087D8E" w14:textId="77777777" w:rsidR="00FE4469" w:rsidRPr="00FE4469" w:rsidRDefault="00FE4469" w:rsidP="00FE4469">
            <w:pPr>
              <w:suppressAutoHyphens/>
              <w:autoSpaceDN w:val="0"/>
              <w:spacing w:after="0" w:line="240" w:lineRule="auto"/>
              <w:ind w:left="57" w:firstLine="510"/>
              <w:jc w:val="both"/>
              <w:textAlignment w:val="baseline"/>
            </w:pPr>
            <w:r w:rsidRPr="00FE4469">
              <w:rPr>
                <w:rFonts w:ascii="Times New Roman" w:hAnsi="Times New Roman"/>
                <w:sz w:val="24"/>
                <w:szCs w:val="24"/>
              </w:rPr>
              <w:t>Atsižvelgdama į tai, kad Pirkimo sąlygų 10.4 punkte nustatyti ekonomiškai naudingiausio pasiūlymo vertinimo kriterijai (</w:t>
            </w:r>
            <w:r w:rsidRPr="00FE4469">
              <w:rPr>
                <w:rFonts w:ascii="Times New Roman" w:hAnsi="Times New Roman"/>
                <w:bCs/>
                <w:sz w:val="24"/>
                <w:szCs w:val="24"/>
              </w:rPr>
              <w:t>T</w:t>
            </w:r>
            <w:r w:rsidRPr="00FE4469">
              <w:rPr>
                <w:rFonts w:ascii="Times New Roman" w:hAnsi="Times New Roman"/>
                <w:bCs/>
                <w:sz w:val="24"/>
                <w:szCs w:val="24"/>
                <w:vertAlign w:val="subscript"/>
              </w:rPr>
              <w:t>1</w:t>
            </w:r>
            <w:r w:rsidRPr="00FE4469">
              <w:rPr>
                <w:rFonts w:ascii="Times New Roman" w:hAnsi="Times New Roman"/>
                <w:bCs/>
                <w:sz w:val="24"/>
                <w:szCs w:val="24"/>
              </w:rPr>
              <w:t xml:space="preserve"> – „Rizikos valdymas“ ir T</w:t>
            </w:r>
            <w:r w:rsidRPr="00FE4469">
              <w:rPr>
                <w:rFonts w:ascii="Times New Roman" w:hAnsi="Times New Roman"/>
                <w:bCs/>
                <w:sz w:val="24"/>
                <w:szCs w:val="24"/>
                <w:vertAlign w:val="subscript"/>
              </w:rPr>
              <w:t>2</w:t>
            </w:r>
            <w:r w:rsidRPr="00FE4469">
              <w:rPr>
                <w:rFonts w:ascii="Times New Roman" w:hAnsi="Times New Roman"/>
                <w:bCs/>
                <w:sz w:val="24"/>
                <w:szCs w:val="24"/>
              </w:rPr>
              <w:t xml:space="preserve"> – „Darbų organizavimas ir komunikacija“) </w:t>
            </w:r>
            <w:r w:rsidRPr="00FE4469">
              <w:rPr>
                <w:rFonts w:ascii="Times New Roman" w:hAnsi="Times New Roman"/>
                <w:sz w:val="24"/>
                <w:szCs w:val="24"/>
              </w:rPr>
              <w:t xml:space="preserve">neparemti faktiniais duomenimis, o tik tiekėjo pasižadėjimais, bei balai pasiūlymams bus suteikiami remiantis </w:t>
            </w:r>
            <w:r w:rsidRPr="00FE4469">
              <w:rPr>
                <w:rFonts w:ascii="Times New Roman" w:hAnsi="Times New Roman"/>
                <w:bCs/>
                <w:sz w:val="24"/>
                <w:szCs w:val="24"/>
              </w:rPr>
              <w:t xml:space="preserve">iš esmės tiekėjo gebėjimu aiškiai, nuosekliai ir plačiai aprašyti numatomas sutarties vykdymo rizikas bei darbų organizavimą ir komunikaciją, o balai, turintys svarią įtaką laimėtojo nustatymui, bus suteikiami pagal subjektyvų tiekėjų pasiūlymų </w:t>
            </w:r>
            <w:r w:rsidRPr="00FE4469">
              <w:rPr>
                <w:rFonts w:ascii="Times New Roman" w:hAnsi="Times New Roman"/>
                <w:bCs/>
                <w:color w:val="000000"/>
                <w:sz w:val="24"/>
                <w:szCs w:val="24"/>
              </w:rPr>
              <w:t xml:space="preserve">vertinimą ir skirtingą tiekėjų ir perkančiosios organizacijos šių reikalavimų supratimą, </w:t>
            </w:r>
            <w:r w:rsidRPr="00FE4469">
              <w:rPr>
                <w:rFonts w:ascii="Times New Roman" w:hAnsi="Times New Roman"/>
                <w:bCs/>
                <w:sz w:val="24"/>
                <w:szCs w:val="24"/>
              </w:rPr>
              <w:t xml:space="preserve">tačiau faktiškai tiek perkančioji organizacija, tiek tiekėjas gali su pasiūlymuose išvardintomis rizikomis, darbų organizavimo ar komunikacijos poreikiu nesusidurti, </w:t>
            </w:r>
            <w:r w:rsidR="006C5F3A">
              <w:rPr>
                <w:rFonts w:ascii="Times New Roman" w:hAnsi="Times New Roman"/>
                <w:bCs/>
                <w:sz w:val="24"/>
                <w:szCs w:val="24"/>
              </w:rPr>
              <w:t>į tai, kad</w:t>
            </w:r>
            <w:r w:rsidRPr="00FE4469">
              <w:rPr>
                <w:rFonts w:ascii="Times New Roman" w:hAnsi="Times New Roman"/>
                <w:bCs/>
                <w:sz w:val="24"/>
                <w:szCs w:val="24"/>
              </w:rPr>
              <w:t xml:space="preserve"> viešojo pirkimo – pardavimo sutarties projekte nėra nustatytas tiekėjo aprašymuose nurodytų priemonių kontrolės mechanizmas, </w:t>
            </w:r>
            <w:r w:rsidRPr="00FE4469">
              <w:rPr>
                <w:rFonts w:ascii="Times New Roman" w:hAnsi="Times New Roman"/>
                <w:sz w:val="24"/>
                <w:szCs w:val="24"/>
              </w:rPr>
              <w:t>Tarnyba sprendžia, kad Pirkimo sąlygose nustatyti ekonomiškai naudingiausio pasiūlymo vertinimo kriterijų skiriamų balų dydžiai</w:t>
            </w:r>
            <w:r w:rsidRPr="00FE4469">
              <w:rPr>
                <w:rFonts w:ascii="Times New Roman" w:hAnsi="Times New Roman"/>
                <w:color w:val="000000"/>
                <w:sz w:val="24"/>
                <w:szCs w:val="24"/>
              </w:rPr>
              <w:t xml:space="preserve"> nustatyti neproporcingi ekonominei pasiūlymo naudai bei </w:t>
            </w:r>
            <w:r w:rsidRPr="00FE4469">
              <w:rPr>
                <w:rFonts w:ascii="Times New Roman" w:hAnsi="Times New Roman"/>
                <w:sz w:val="24"/>
                <w:szCs w:val="24"/>
              </w:rPr>
              <w:t>neužtikrina ekonomiškai naudingiausio pasiūlymo pasirinkimo</w:t>
            </w:r>
            <w:r w:rsidRPr="00FE4469">
              <w:rPr>
                <w:rFonts w:ascii="Times New Roman" w:hAnsi="Times New Roman"/>
                <w:color w:val="000000"/>
                <w:sz w:val="24"/>
                <w:szCs w:val="24"/>
              </w:rPr>
              <w:t xml:space="preserve">, </w:t>
            </w:r>
            <w:r w:rsidRPr="00FE4469">
              <w:rPr>
                <w:rFonts w:ascii="Times New Roman" w:hAnsi="Times New Roman"/>
                <w:sz w:val="24"/>
                <w:szCs w:val="24"/>
              </w:rPr>
              <w:t>tuo pažeidžiant Įstatymo 3 straipsnio 1 dalyje įtvirtintus skaidrumo, proporcingumo ir lygiateisiškumo principus bei šio straipsnio 2 dalyje įtvirtinto pirkimų tikslo siekimą.</w:t>
            </w:r>
            <w:r w:rsidRPr="00FE4469">
              <w:rPr>
                <w:rFonts w:ascii="Times New Roman" w:hAnsi="Times New Roman"/>
                <w:bCs/>
                <w:sz w:val="24"/>
                <w:szCs w:val="24"/>
              </w:rPr>
              <w:t xml:space="preserve">  </w:t>
            </w:r>
          </w:p>
          <w:p w14:paraId="5FC57093" w14:textId="77777777" w:rsidR="00FE4469" w:rsidRPr="00FE4469" w:rsidRDefault="00FE4469" w:rsidP="00FE4469">
            <w:pPr>
              <w:suppressAutoHyphens/>
              <w:autoSpaceDN w:val="0"/>
              <w:spacing w:after="0" w:line="240" w:lineRule="auto"/>
              <w:ind w:firstLine="510"/>
              <w:jc w:val="both"/>
              <w:textAlignment w:val="baseline"/>
              <w:rPr>
                <w:rFonts w:ascii="Times New Roman" w:hAnsi="Times New Roman"/>
                <w:sz w:val="24"/>
                <w:szCs w:val="24"/>
              </w:rPr>
            </w:pPr>
            <w:r w:rsidRPr="00FE4469">
              <w:rPr>
                <w:rFonts w:ascii="Times New Roman" w:hAnsi="Times New Roman"/>
                <w:sz w:val="24"/>
                <w:szCs w:val="24"/>
              </w:rPr>
              <w:t xml:space="preserve">Tarnyba sutinka, kad sutarties vykdymui </w:t>
            </w:r>
            <w:r w:rsidR="006C5F3A">
              <w:rPr>
                <w:rFonts w:ascii="Times New Roman" w:hAnsi="Times New Roman"/>
                <w:sz w:val="24"/>
                <w:szCs w:val="24"/>
              </w:rPr>
              <w:t>P</w:t>
            </w:r>
            <w:r w:rsidRPr="00FE4469">
              <w:rPr>
                <w:rFonts w:ascii="Times New Roman" w:hAnsi="Times New Roman"/>
                <w:sz w:val="24"/>
                <w:szCs w:val="24"/>
              </w:rPr>
              <w:t xml:space="preserve">erkančioji organizacija turi išsirinkti patikimą ir patirties turintį, kokybiškai ir laiku darbus atliekantį, gebantį numatyti galimas sutarties vykdymo rizikas, turintį patirties ir idėjų jų sprendimui, be to gebantį tinkamai, pagrįstai, racionaliai planuoti žmogiškųjų išteklių paskirstymą, atliekant darbus ir komunikabilų tiekėją (rangovą), todėl vadovaudamasi Įstatymo 32 straipsnio 2 dalimi </w:t>
            </w:r>
            <w:r w:rsidR="00685B24">
              <w:rPr>
                <w:rFonts w:ascii="Times New Roman" w:hAnsi="Times New Roman"/>
                <w:sz w:val="24"/>
                <w:szCs w:val="24"/>
              </w:rPr>
              <w:t>Perkančioji organizacija</w:t>
            </w:r>
            <w:r w:rsidRPr="00FE4469">
              <w:rPr>
                <w:rFonts w:ascii="Times New Roman" w:hAnsi="Times New Roman"/>
                <w:sz w:val="24"/>
                <w:szCs w:val="24"/>
              </w:rPr>
              <w:t xml:space="preserve"> turi nustatyti tiekėjams keliamus kvalifikacijos reikalavimus, kurie padės įsitikinti tiekėjo gebėjimais tinkamai vykdyti prisiimtas prievoles.</w:t>
            </w:r>
          </w:p>
          <w:p w14:paraId="347C95E3" w14:textId="77777777" w:rsidR="004C45C3" w:rsidRPr="008B62D7" w:rsidRDefault="00FE4469" w:rsidP="00885655">
            <w:pPr>
              <w:suppressAutoHyphens/>
              <w:autoSpaceDN w:val="0"/>
              <w:spacing w:line="254" w:lineRule="auto"/>
              <w:ind w:firstLine="567"/>
              <w:jc w:val="both"/>
              <w:textAlignment w:val="baseline"/>
              <w:rPr>
                <w:rFonts w:ascii="Times New Roman" w:hAnsi="Times New Roman"/>
                <w:sz w:val="24"/>
                <w:szCs w:val="24"/>
              </w:rPr>
            </w:pPr>
            <w:r w:rsidRPr="00FE4469">
              <w:rPr>
                <w:rFonts w:ascii="Times New Roman" w:hAnsi="Times New Roman"/>
                <w:sz w:val="24"/>
                <w:szCs w:val="24"/>
              </w:rPr>
              <w:t>Taipogi Tarnyba pažymi, kad</w:t>
            </w:r>
            <w:r w:rsidR="00885655">
              <w:rPr>
                <w:rFonts w:ascii="Times New Roman" w:hAnsi="Times New Roman"/>
                <w:sz w:val="24"/>
                <w:szCs w:val="24"/>
              </w:rPr>
              <w:t xml:space="preserve"> kai</w:t>
            </w:r>
            <w:r w:rsidRPr="00FE4469">
              <w:rPr>
                <w:rFonts w:ascii="Times New Roman" w:hAnsi="Times New Roman"/>
                <w:sz w:val="24"/>
                <w:szCs w:val="24"/>
              </w:rPr>
              <w:t xml:space="preserve"> vertinimo kriterijų apibrėžimas yra dviprasmiškas, vertintojas gali pasiūlymus vertinti tik subjektyviai, todėl siekiant pasiūlymų vertinimo objektyvumo, </w:t>
            </w:r>
            <w:r w:rsidR="006C5F3A">
              <w:rPr>
                <w:rFonts w:ascii="Times New Roman" w:hAnsi="Times New Roman"/>
                <w:sz w:val="24"/>
                <w:szCs w:val="24"/>
              </w:rPr>
              <w:t>P</w:t>
            </w:r>
            <w:r w:rsidRPr="00FE4469">
              <w:rPr>
                <w:rFonts w:ascii="Times New Roman" w:hAnsi="Times New Roman"/>
                <w:sz w:val="24"/>
                <w:szCs w:val="24"/>
              </w:rPr>
              <w:t xml:space="preserve">erkančioji organizacija, Tarnybos nuomone, turėtų pateikti labai aiškią klausimų anketą, kurioje tiekėjas galėtų atsakyti (pvz.: „Taip“, „Ne“, „Užtikrina”, „Neužtikrina”), bei patvirtinti ir išsamiai detalizuoti, </w:t>
            </w:r>
            <w:r w:rsidR="006C5F3A">
              <w:rPr>
                <w:rFonts w:ascii="Times New Roman" w:hAnsi="Times New Roman"/>
                <w:sz w:val="24"/>
                <w:szCs w:val="24"/>
              </w:rPr>
              <w:t>P</w:t>
            </w:r>
            <w:r w:rsidRPr="00FE4469">
              <w:rPr>
                <w:rFonts w:ascii="Times New Roman" w:hAnsi="Times New Roman"/>
                <w:sz w:val="24"/>
                <w:szCs w:val="24"/>
              </w:rPr>
              <w:t>erkančiosios organizacijos išvardintų svarbiausių (</w:t>
            </w:r>
            <w:r w:rsidR="006C5F3A">
              <w:rPr>
                <w:rFonts w:ascii="Times New Roman" w:hAnsi="Times New Roman"/>
                <w:sz w:val="24"/>
                <w:szCs w:val="24"/>
              </w:rPr>
              <w:t>P</w:t>
            </w:r>
            <w:r w:rsidRPr="00FE4469">
              <w:rPr>
                <w:rFonts w:ascii="Times New Roman" w:hAnsi="Times New Roman"/>
                <w:sz w:val="24"/>
                <w:szCs w:val="24"/>
              </w:rPr>
              <w:t>erkančiosios organizacijos manymu) rizikų, komunikacijos, išteklių paskirstymo ir t.</w:t>
            </w:r>
            <w:r w:rsidR="006C5F3A">
              <w:rPr>
                <w:rFonts w:ascii="Times New Roman" w:hAnsi="Times New Roman"/>
                <w:sz w:val="24"/>
                <w:szCs w:val="24"/>
              </w:rPr>
              <w:t xml:space="preserve"> </w:t>
            </w:r>
            <w:r w:rsidRPr="00FE4469">
              <w:rPr>
                <w:rFonts w:ascii="Times New Roman" w:hAnsi="Times New Roman"/>
                <w:sz w:val="24"/>
                <w:szCs w:val="24"/>
              </w:rPr>
              <w:t>t. valdymo, kontrolės ir sprendimų būdus ir priemones, bei numatyti tiekėjo manymu kitus sutarties vykdymui s</w:t>
            </w:r>
            <w:r w:rsidR="0032341E">
              <w:rPr>
                <w:rFonts w:ascii="Times New Roman" w:hAnsi="Times New Roman"/>
                <w:sz w:val="24"/>
                <w:szCs w:val="24"/>
              </w:rPr>
              <w:t>varbius</w:t>
            </w:r>
            <w:r w:rsidRPr="00FE4469">
              <w:rPr>
                <w:rFonts w:ascii="Times New Roman" w:hAnsi="Times New Roman"/>
                <w:sz w:val="24"/>
                <w:szCs w:val="24"/>
              </w:rPr>
              <w:t xml:space="preserve"> aspektus susijusius su Pirkimo sąlygose nustatytais ekonominio </w:t>
            </w:r>
            <w:r w:rsidR="00885655">
              <w:rPr>
                <w:rFonts w:ascii="Times New Roman" w:hAnsi="Times New Roman"/>
                <w:sz w:val="24"/>
                <w:szCs w:val="24"/>
              </w:rPr>
              <w:t xml:space="preserve">naudingumo </w:t>
            </w:r>
            <w:r w:rsidRPr="00FE4469">
              <w:rPr>
                <w:rFonts w:ascii="Times New Roman" w:hAnsi="Times New Roman"/>
                <w:sz w:val="24"/>
                <w:szCs w:val="24"/>
              </w:rPr>
              <w:t xml:space="preserve">vertinimo kriterijais, kas galimai sąlygotų tiekėjo pasiūlymo pranašumą ir objektyvesnį pasiūlymų vertinimą. </w:t>
            </w:r>
          </w:p>
        </w:tc>
      </w:tr>
    </w:tbl>
    <w:p w14:paraId="4B2D01C6" w14:textId="77777777" w:rsidR="00EB3342" w:rsidRPr="008B62D7" w:rsidRDefault="00EB3342" w:rsidP="00674C40">
      <w:pPr>
        <w:spacing w:after="0" w:line="240" w:lineRule="auto"/>
        <w:jc w:val="center"/>
        <w:rPr>
          <w:rFonts w:ascii="Times New Roman" w:hAnsi="Times New Roman"/>
          <w:b/>
          <w:sz w:val="24"/>
          <w:szCs w:val="24"/>
        </w:rPr>
      </w:pPr>
    </w:p>
    <w:p w14:paraId="18A9EE63" w14:textId="77777777" w:rsidR="00B64236" w:rsidRPr="008B62D7" w:rsidRDefault="008F4663" w:rsidP="00674C40">
      <w:pPr>
        <w:spacing w:after="0" w:line="240" w:lineRule="auto"/>
        <w:jc w:val="center"/>
        <w:rPr>
          <w:rFonts w:ascii="Times New Roman" w:hAnsi="Times New Roman"/>
          <w:b/>
          <w:sz w:val="24"/>
          <w:szCs w:val="24"/>
        </w:rPr>
      </w:pPr>
      <w:r w:rsidRPr="008B62D7">
        <w:rPr>
          <w:rFonts w:ascii="Times New Roman" w:hAnsi="Times New Roman"/>
          <w:b/>
          <w:sz w:val="24"/>
          <w:szCs w:val="24"/>
        </w:rPr>
        <w:lastRenderedPageBreak/>
        <w:t>I</w:t>
      </w:r>
      <w:r w:rsidR="00ED2E43" w:rsidRPr="008B62D7">
        <w:rPr>
          <w:rFonts w:ascii="Times New Roman" w:hAnsi="Times New Roman"/>
          <w:b/>
          <w:sz w:val="24"/>
          <w:szCs w:val="24"/>
        </w:rPr>
        <w:t>II</w:t>
      </w:r>
      <w:r w:rsidR="00B64236" w:rsidRPr="008B62D7">
        <w:rPr>
          <w:rFonts w:ascii="Times New Roman" w:hAnsi="Times New Roman"/>
          <w:b/>
          <w:sz w:val="24"/>
          <w:szCs w:val="24"/>
        </w:rPr>
        <w:t xml:space="preserve"> dalis</w:t>
      </w:r>
      <w:r w:rsidR="008A5A46" w:rsidRPr="008B62D7">
        <w:rPr>
          <w:rFonts w:ascii="Times New Roman" w:hAnsi="Times New Roman"/>
          <w:b/>
          <w:sz w:val="24"/>
          <w:szCs w:val="24"/>
        </w:rPr>
        <w:t>.</w:t>
      </w:r>
      <w:r w:rsidR="00B64236" w:rsidRPr="008B62D7">
        <w:rPr>
          <w:rFonts w:ascii="Times New Roman" w:hAnsi="Times New Roman"/>
          <w:b/>
          <w:sz w:val="24"/>
          <w:szCs w:val="24"/>
        </w:rPr>
        <w:t xml:space="preserve"> </w:t>
      </w:r>
      <w:r w:rsidR="007A1C3E" w:rsidRPr="008B62D7">
        <w:rPr>
          <w:rFonts w:ascii="Times New Roman" w:hAnsi="Times New Roman"/>
          <w:b/>
          <w:sz w:val="24"/>
          <w:szCs w:val="24"/>
        </w:rPr>
        <w:t>P</w:t>
      </w:r>
      <w:r w:rsidR="00B64236" w:rsidRPr="008B62D7">
        <w:rPr>
          <w:rFonts w:ascii="Times New Roman" w:hAnsi="Times New Roman"/>
          <w:b/>
          <w:sz w:val="24"/>
          <w:szCs w:val="24"/>
        </w:rPr>
        <w:t>astabos</w:t>
      </w:r>
      <w:r w:rsidR="00B822E0" w:rsidRPr="008B62D7">
        <w:rPr>
          <w:rFonts w:ascii="Times New Roman" w:hAnsi="Times New Roman"/>
          <w:b/>
          <w:sz w:val="24"/>
          <w:szCs w:val="24"/>
        </w:rPr>
        <w:t>,</w:t>
      </w:r>
      <w:r w:rsidR="00B64236" w:rsidRPr="008B62D7">
        <w:rPr>
          <w:rFonts w:ascii="Times New Roman" w:hAnsi="Times New Roman"/>
          <w:b/>
          <w:sz w:val="24"/>
          <w:szCs w:val="24"/>
        </w:rPr>
        <w:t xml:space="preserve"> </w:t>
      </w:r>
      <w:r w:rsidR="0071396E" w:rsidRPr="008B62D7">
        <w:rPr>
          <w:rFonts w:ascii="Times New Roman" w:hAnsi="Times New Roman"/>
          <w:b/>
          <w:sz w:val="24"/>
          <w:szCs w:val="24"/>
        </w:rPr>
        <w:t xml:space="preserve">į kurias </w:t>
      </w:r>
      <w:r w:rsidR="00BA3D29" w:rsidRPr="008B62D7">
        <w:rPr>
          <w:rFonts w:ascii="Times New Roman" w:hAnsi="Times New Roman"/>
          <w:b/>
          <w:sz w:val="24"/>
          <w:szCs w:val="24"/>
        </w:rPr>
        <w:t>perkančioji organizacija</w:t>
      </w:r>
      <w:r w:rsidR="0071396E" w:rsidRPr="008B62D7">
        <w:rPr>
          <w:rFonts w:ascii="Times New Roman" w:hAnsi="Times New Roman"/>
          <w:b/>
          <w:sz w:val="24"/>
          <w:szCs w:val="24"/>
        </w:rPr>
        <w:t xml:space="preserve"> turėtų atsižvelgti vykdydama </w:t>
      </w:r>
      <w:r w:rsidR="00E93D32" w:rsidRPr="008B62D7">
        <w:rPr>
          <w:rFonts w:ascii="Times New Roman" w:hAnsi="Times New Roman"/>
          <w:b/>
          <w:sz w:val="24"/>
          <w:szCs w:val="24"/>
        </w:rPr>
        <w:t xml:space="preserve">kitus </w:t>
      </w:r>
      <w:r w:rsidR="0071396E" w:rsidRPr="008B62D7">
        <w:rPr>
          <w:rFonts w:ascii="Times New Roman" w:hAnsi="Times New Roman"/>
          <w:b/>
          <w:sz w:val="24"/>
          <w:szCs w:val="24"/>
        </w:rPr>
        <w:t>pirkimus</w:t>
      </w:r>
    </w:p>
    <w:p w14:paraId="4A2AFD31" w14:textId="77777777" w:rsidR="00EB3342" w:rsidRPr="008B62D7" w:rsidRDefault="00EB3342" w:rsidP="00674C40">
      <w:pPr>
        <w:spacing w:after="0" w:line="240" w:lineRule="auto"/>
        <w:jc w:val="center"/>
        <w:rPr>
          <w:rFonts w:ascii="Times New Roman" w:hAnsi="Times New Roman"/>
          <w:b/>
          <w:sz w:val="24"/>
          <w:szCs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61"/>
        <w:tblGridChange w:id="3">
          <w:tblGrid>
            <w:gridCol w:w="675"/>
            <w:gridCol w:w="9161"/>
          </w:tblGrid>
        </w:tblGridChange>
      </w:tblGrid>
      <w:tr w:rsidR="003C1DE9" w:rsidRPr="008B62D7" w14:paraId="53C61ACC" w14:textId="77777777" w:rsidTr="00C7523F">
        <w:tc>
          <w:tcPr>
            <w:tcW w:w="675" w:type="dxa"/>
            <w:shd w:val="clear" w:color="auto" w:fill="auto"/>
            <w:vAlign w:val="center"/>
          </w:tcPr>
          <w:p w14:paraId="6E40279A" w14:textId="77777777" w:rsidR="003C1DE9" w:rsidRPr="008B62D7" w:rsidRDefault="003C1DE9"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2E3C20E1" w14:textId="77777777" w:rsidR="003C1DE9" w:rsidRPr="008B62D7" w:rsidRDefault="004A2E0C" w:rsidP="00AF73D3">
            <w:pPr>
              <w:pStyle w:val="Normal12pt"/>
              <w:tabs>
                <w:tab w:val="clear" w:pos="737"/>
                <w:tab w:val="left" w:pos="993"/>
              </w:tabs>
              <w:ind w:right="0"/>
              <w:rPr>
                <w:bCs/>
              </w:rPr>
            </w:pPr>
            <w:r>
              <w:rPr>
                <w:bCs/>
              </w:rPr>
              <w:t>Taisyklių 32.8</w:t>
            </w:r>
            <w:r w:rsidR="00275A50">
              <w:rPr>
                <w:rStyle w:val="FootnoteReference"/>
                <w:bCs/>
              </w:rPr>
              <w:footnoteReference w:id="25"/>
            </w:r>
            <w:r>
              <w:rPr>
                <w:bCs/>
              </w:rPr>
              <w:t xml:space="preserve"> ir 32.9</w:t>
            </w:r>
            <w:r w:rsidR="003C6AB1">
              <w:rPr>
                <w:rStyle w:val="FootnoteReference"/>
                <w:bCs/>
              </w:rPr>
              <w:footnoteReference w:id="26"/>
            </w:r>
            <w:r>
              <w:rPr>
                <w:bCs/>
              </w:rPr>
              <w:t xml:space="preserve"> punktai, Įstatymo 85 straipsnio 2 dalis</w:t>
            </w:r>
            <w:r>
              <w:rPr>
                <w:rStyle w:val="FootnoteReference"/>
                <w:bCs/>
              </w:rPr>
              <w:footnoteReference w:id="27"/>
            </w:r>
          </w:p>
        </w:tc>
      </w:tr>
      <w:tr w:rsidR="007C7A86" w:rsidRPr="008B62D7" w14:paraId="40987439" w14:textId="77777777" w:rsidTr="00C7523F">
        <w:tc>
          <w:tcPr>
            <w:tcW w:w="9836" w:type="dxa"/>
            <w:gridSpan w:val="2"/>
            <w:shd w:val="clear" w:color="auto" w:fill="auto"/>
            <w:vAlign w:val="center"/>
          </w:tcPr>
          <w:p w14:paraId="71FEF3C0" w14:textId="77777777" w:rsidR="00451C6E" w:rsidRDefault="00AF73D3" w:rsidP="00F62382">
            <w:pPr>
              <w:tabs>
                <w:tab w:val="left" w:pos="284"/>
                <w:tab w:val="left" w:pos="851"/>
                <w:tab w:val="left" w:pos="6648"/>
              </w:tabs>
              <w:spacing w:after="0" w:line="240" w:lineRule="auto"/>
              <w:ind w:firstLine="567"/>
              <w:contextualSpacing/>
              <w:jc w:val="both"/>
              <w:rPr>
                <w:rFonts w:ascii="Times New Roman" w:eastAsia="Times New Roman" w:hAnsi="Times New Roman"/>
                <w:bCs/>
                <w:sz w:val="24"/>
                <w:szCs w:val="24"/>
                <w:lang w:eastAsia="zh-CN"/>
              </w:rPr>
            </w:pPr>
            <w:r w:rsidRPr="00F62382">
              <w:rPr>
                <w:rFonts w:ascii="Times New Roman" w:hAnsi="Times New Roman"/>
                <w:bCs/>
                <w:sz w:val="24"/>
                <w:szCs w:val="24"/>
              </w:rPr>
              <w:t xml:space="preserve">Atsižvelgiant į tai, kad Perkančiosios organizacijos Paraiškoje darbų pirkimui nurodyta </w:t>
            </w:r>
            <w:r>
              <w:rPr>
                <w:rFonts w:ascii="Times New Roman" w:hAnsi="Times New Roman"/>
                <w:bCs/>
                <w:sz w:val="24"/>
                <w:szCs w:val="24"/>
              </w:rPr>
              <w:t xml:space="preserve">bendra </w:t>
            </w:r>
            <w:r w:rsidRPr="00F62382">
              <w:rPr>
                <w:rFonts w:ascii="Times New Roman" w:hAnsi="Times New Roman"/>
                <w:bCs/>
                <w:sz w:val="24"/>
                <w:szCs w:val="24"/>
              </w:rPr>
              <w:t>Pirkimo vertė neatitinka Perkančiosios organizacijos Tarnybai 2017-06-06 rašte Nr. (5.54) R</w:t>
            </w:r>
            <w:r w:rsidRPr="00F62382">
              <w:rPr>
                <w:rFonts w:ascii="Times New Roman" w:hAnsi="Times New Roman"/>
                <w:bCs/>
                <w:sz w:val="24"/>
                <w:szCs w:val="24"/>
                <w:vertAlign w:val="subscript"/>
              </w:rPr>
              <w:t>5</w:t>
            </w:r>
            <w:r w:rsidRPr="00F62382">
              <w:rPr>
                <w:rFonts w:ascii="Times New Roman" w:hAnsi="Times New Roman"/>
                <w:bCs/>
                <w:sz w:val="24"/>
                <w:szCs w:val="24"/>
              </w:rPr>
              <w:t>-1689 2.3 punkte nu</w:t>
            </w:r>
            <w:r w:rsidR="00451C6E">
              <w:rPr>
                <w:rFonts w:ascii="Times New Roman" w:hAnsi="Times New Roman"/>
                <w:bCs/>
                <w:sz w:val="24"/>
                <w:szCs w:val="24"/>
              </w:rPr>
              <w:t>rodytos</w:t>
            </w:r>
            <w:r w:rsidRPr="00F62382">
              <w:rPr>
                <w:rFonts w:ascii="Times New Roman" w:hAnsi="Times New Roman"/>
                <w:bCs/>
                <w:sz w:val="24"/>
                <w:szCs w:val="24"/>
              </w:rPr>
              <w:t xml:space="preserve"> verte</w:t>
            </w:r>
            <w:r>
              <w:rPr>
                <w:rFonts w:ascii="Times New Roman" w:hAnsi="Times New Roman"/>
                <w:bCs/>
                <w:sz w:val="24"/>
                <w:szCs w:val="24"/>
              </w:rPr>
              <w:t>s</w:t>
            </w:r>
            <w:r w:rsidR="005D6F92">
              <w:rPr>
                <w:rFonts w:ascii="Times New Roman" w:hAnsi="Times New Roman"/>
                <w:bCs/>
                <w:sz w:val="24"/>
                <w:szCs w:val="24"/>
              </w:rPr>
              <w:t xml:space="preserve"> (skirtumas ~ 385 tūkst. Eurų su PVM)</w:t>
            </w:r>
            <w:r>
              <w:rPr>
                <w:rFonts w:ascii="Times New Roman" w:hAnsi="Times New Roman"/>
                <w:bCs/>
                <w:sz w:val="24"/>
                <w:szCs w:val="24"/>
              </w:rPr>
              <w:t xml:space="preserve">, į tai, kad </w:t>
            </w:r>
            <w:r w:rsidR="00451C6E">
              <w:rPr>
                <w:rFonts w:ascii="Times New Roman" w:hAnsi="Times New Roman"/>
                <w:bCs/>
                <w:sz w:val="24"/>
                <w:szCs w:val="24"/>
              </w:rPr>
              <w:t xml:space="preserve">Perkančioji organizacija </w:t>
            </w:r>
            <w:r>
              <w:rPr>
                <w:rFonts w:ascii="Times New Roman" w:hAnsi="Times New Roman"/>
                <w:bCs/>
                <w:sz w:val="24"/>
                <w:szCs w:val="24"/>
              </w:rPr>
              <w:t>numato sudaryti dvi atskiras sutartis</w:t>
            </w:r>
            <w:r w:rsidR="00451C6E">
              <w:rPr>
                <w:rFonts w:ascii="Times New Roman" w:hAnsi="Times New Roman"/>
                <w:bCs/>
                <w:sz w:val="24"/>
                <w:szCs w:val="24"/>
              </w:rPr>
              <w:t>,</w:t>
            </w:r>
            <w:r>
              <w:rPr>
                <w:rFonts w:ascii="Times New Roman" w:hAnsi="Times New Roman"/>
                <w:bCs/>
                <w:sz w:val="24"/>
                <w:szCs w:val="24"/>
              </w:rPr>
              <w:t xml:space="preserve"> kuri</w:t>
            </w:r>
            <w:r w:rsidR="00451C6E">
              <w:rPr>
                <w:rFonts w:ascii="Times New Roman" w:hAnsi="Times New Roman"/>
                <w:bCs/>
                <w:sz w:val="24"/>
                <w:szCs w:val="24"/>
              </w:rPr>
              <w:t>as planuojama</w:t>
            </w:r>
            <w:r>
              <w:rPr>
                <w:rFonts w:ascii="Times New Roman" w:hAnsi="Times New Roman"/>
                <w:bCs/>
                <w:sz w:val="24"/>
                <w:szCs w:val="24"/>
              </w:rPr>
              <w:t xml:space="preserve"> finans</w:t>
            </w:r>
            <w:r w:rsidR="00451C6E">
              <w:rPr>
                <w:rFonts w:ascii="Times New Roman" w:hAnsi="Times New Roman"/>
                <w:bCs/>
                <w:sz w:val="24"/>
                <w:szCs w:val="24"/>
              </w:rPr>
              <w:t xml:space="preserve">uoti </w:t>
            </w:r>
            <w:r>
              <w:rPr>
                <w:rFonts w:ascii="Times New Roman" w:hAnsi="Times New Roman"/>
                <w:bCs/>
                <w:sz w:val="24"/>
                <w:szCs w:val="24"/>
              </w:rPr>
              <w:t>iš skirtingų šaltinių,</w:t>
            </w:r>
            <w:r w:rsidR="007C7A86" w:rsidRPr="00F62382">
              <w:rPr>
                <w:rFonts w:ascii="Times New Roman" w:hAnsi="Times New Roman"/>
                <w:bCs/>
                <w:sz w:val="24"/>
                <w:szCs w:val="24"/>
              </w:rPr>
              <w:t xml:space="preserve"> n</w:t>
            </w:r>
            <w:r>
              <w:rPr>
                <w:rFonts w:ascii="Times New Roman" w:hAnsi="Times New Roman"/>
                <w:bCs/>
                <w:sz w:val="24"/>
                <w:szCs w:val="24"/>
              </w:rPr>
              <w:t>e</w:t>
            </w:r>
            <w:r w:rsidRPr="00F62382">
              <w:rPr>
                <w:rFonts w:ascii="Times New Roman" w:hAnsi="Times New Roman"/>
                <w:bCs/>
                <w:sz w:val="24"/>
                <w:szCs w:val="24"/>
              </w:rPr>
              <w:t>aišku</w:t>
            </w:r>
            <w:r w:rsidR="005D3911">
              <w:rPr>
                <w:rFonts w:ascii="Times New Roman" w:hAnsi="Times New Roman"/>
                <w:bCs/>
                <w:sz w:val="24"/>
                <w:szCs w:val="24"/>
              </w:rPr>
              <w:t xml:space="preserve"> kuri</w:t>
            </w:r>
            <w:r>
              <w:rPr>
                <w:rFonts w:ascii="Times New Roman" w:hAnsi="Times New Roman"/>
                <w:bCs/>
                <w:sz w:val="24"/>
                <w:szCs w:val="24"/>
              </w:rPr>
              <w:t xml:space="preserve"> iš nurodytų verčių yra teisinga,</w:t>
            </w:r>
            <w:r w:rsidR="00451C6E">
              <w:rPr>
                <w:rFonts w:ascii="Times New Roman" w:hAnsi="Times New Roman"/>
                <w:bCs/>
                <w:sz w:val="24"/>
                <w:szCs w:val="24"/>
              </w:rPr>
              <w:t xml:space="preserve"> bei </w:t>
            </w:r>
            <w:r>
              <w:rPr>
                <w:rFonts w:ascii="Times New Roman" w:hAnsi="Times New Roman"/>
                <w:bCs/>
                <w:sz w:val="24"/>
                <w:szCs w:val="24"/>
              </w:rPr>
              <w:t>į kurią atsižvelgs Komisija vertindam</w:t>
            </w:r>
            <w:r w:rsidR="00451C6E">
              <w:rPr>
                <w:rFonts w:ascii="Times New Roman" w:hAnsi="Times New Roman"/>
                <w:bCs/>
                <w:sz w:val="24"/>
                <w:szCs w:val="24"/>
              </w:rPr>
              <w:t>a</w:t>
            </w:r>
            <w:r w:rsidR="007C7A86" w:rsidRPr="00F62382">
              <w:rPr>
                <w:rFonts w:ascii="Times New Roman" w:hAnsi="Times New Roman"/>
                <w:bCs/>
                <w:sz w:val="24"/>
                <w:szCs w:val="24"/>
              </w:rPr>
              <w:t>, kad</w:t>
            </w:r>
            <w:r w:rsidRPr="00F62382">
              <w:rPr>
                <w:rFonts w:ascii="Times New Roman" w:hAnsi="Times New Roman"/>
                <w:bCs/>
                <w:sz w:val="24"/>
                <w:szCs w:val="24"/>
              </w:rPr>
              <w:t xml:space="preserve"> tiekėjų pasiūlymuose nurodytos kainos yra</w:t>
            </w:r>
            <w:r w:rsidR="007C7A86" w:rsidRPr="00F62382">
              <w:rPr>
                <w:rFonts w:ascii="Times New Roman" w:hAnsi="Times New Roman"/>
                <w:bCs/>
                <w:sz w:val="24"/>
                <w:szCs w:val="24"/>
              </w:rPr>
              <w:t xml:space="preserve"> ne per didelė</w:t>
            </w:r>
            <w:r w:rsidRPr="00F62382">
              <w:rPr>
                <w:rFonts w:ascii="Times New Roman" w:hAnsi="Times New Roman"/>
                <w:bCs/>
                <w:sz w:val="24"/>
                <w:szCs w:val="24"/>
              </w:rPr>
              <w:t>s ar</w:t>
            </w:r>
            <w:r w:rsidR="007C7A86" w:rsidRPr="00F62382">
              <w:rPr>
                <w:rFonts w:ascii="Times New Roman" w:hAnsi="Times New Roman"/>
                <w:bCs/>
                <w:sz w:val="24"/>
                <w:szCs w:val="24"/>
              </w:rPr>
              <w:t xml:space="preserve"> neįprastai maž</w:t>
            </w:r>
            <w:r w:rsidRPr="00F62382">
              <w:rPr>
                <w:rFonts w:ascii="Times New Roman" w:hAnsi="Times New Roman"/>
                <w:bCs/>
                <w:sz w:val="24"/>
                <w:szCs w:val="24"/>
              </w:rPr>
              <w:t>os</w:t>
            </w:r>
            <w:r w:rsidR="007C7A86" w:rsidRPr="00F62382">
              <w:rPr>
                <w:rFonts w:ascii="Times New Roman" w:hAnsi="Times New Roman"/>
                <w:bCs/>
                <w:sz w:val="24"/>
                <w:szCs w:val="24"/>
              </w:rPr>
              <w:t>.</w:t>
            </w:r>
            <w:r w:rsidR="004A2E0C" w:rsidRPr="00F62382">
              <w:rPr>
                <w:rFonts w:ascii="Times New Roman" w:eastAsia="Times New Roman" w:hAnsi="Times New Roman"/>
                <w:bCs/>
                <w:sz w:val="24"/>
                <w:szCs w:val="24"/>
                <w:lang w:eastAsia="zh-CN"/>
              </w:rPr>
              <w:t xml:space="preserve"> </w:t>
            </w:r>
          </w:p>
          <w:p w14:paraId="5CD9FF50" w14:textId="77777777" w:rsidR="00451C6E" w:rsidRDefault="005D3911" w:rsidP="00F62382">
            <w:pPr>
              <w:tabs>
                <w:tab w:val="left" w:pos="284"/>
                <w:tab w:val="left" w:pos="851"/>
                <w:tab w:val="left" w:pos="6648"/>
              </w:tabs>
              <w:spacing w:after="0" w:line="240" w:lineRule="auto"/>
              <w:ind w:firstLine="567"/>
              <w:contextualSpacing/>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Taip pat Tarnyba pažymi, kad </w:t>
            </w:r>
            <w:r w:rsidR="00F62382">
              <w:rPr>
                <w:rFonts w:ascii="Times New Roman" w:eastAsia="Times New Roman" w:hAnsi="Times New Roman"/>
                <w:bCs/>
                <w:sz w:val="24"/>
                <w:szCs w:val="24"/>
                <w:lang w:eastAsia="zh-CN"/>
              </w:rPr>
              <w:t>atsižvelgiant į tai, kad planuojamiems pagal atskiras sutartis įsigyti darbams skiriamas ribotas finansavimas, tačiau joki</w:t>
            </w:r>
            <w:r w:rsidR="00685B24">
              <w:rPr>
                <w:rFonts w:ascii="Times New Roman" w:eastAsia="Times New Roman" w:hAnsi="Times New Roman"/>
                <w:bCs/>
                <w:sz w:val="24"/>
                <w:szCs w:val="24"/>
                <w:lang w:eastAsia="zh-CN"/>
              </w:rPr>
              <w:t>u</w:t>
            </w:r>
            <w:r w:rsidR="00F62382">
              <w:rPr>
                <w:rFonts w:ascii="Times New Roman" w:eastAsia="Times New Roman" w:hAnsi="Times New Roman"/>
                <w:bCs/>
                <w:sz w:val="24"/>
                <w:szCs w:val="24"/>
                <w:lang w:eastAsia="zh-CN"/>
              </w:rPr>
              <w:t xml:space="preserve">ose Tarnybai pateiktuose dokumentuose Perkančioji organizacija nenumatė atskirų darbų (pozicijų) numatomų verčių, pagal kuriuos būtų vertinamas pasiūlymų priimtinumas, </w:t>
            </w:r>
            <w:r w:rsidR="003E6518">
              <w:rPr>
                <w:rFonts w:ascii="Times New Roman" w:eastAsia="Times New Roman" w:hAnsi="Times New Roman"/>
                <w:bCs/>
                <w:sz w:val="24"/>
                <w:szCs w:val="24"/>
                <w:lang w:eastAsia="zh-CN"/>
              </w:rPr>
              <w:t xml:space="preserve"> t. y. </w:t>
            </w:r>
            <w:r>
              <w:rPr>
                <w:rFonts w:ascii="Times New Roman" w:eastAsia="Times New Roman" w:hAnsi="Times New Roman"/>
                <w:bCs/>
                <w:sz w:val="24"/>
                <w:szCs w:val="24"/>
                <w:lang w:eastAsia="zh-CN"/>
              </w:rPr>
              <w:t>neaišku</w:t>
            </w:r>
            <w:r w:rsidR="00451C6E">
              <w:rPr>
                <w:rFonts w:ascii="Times New Roman" w:eastAsia="Times New Roman" w:hAnsi="Times New Roman"/>
                <w:bCs/>
                <w:sz w:val="24"/>
                <w:szCs w:val="24"/>
                <w:lang w:eastAsia="zh-CN"/>
              </w:rPr>
              <w:t xml:space="preserve"> kaip Perkančioji organizacija</w:t>
            </w:r>
            <w:r>
              <w:rPr>
                <w:rFonts w:ascii="Times New Roman" w:eastAsia="Times New Roman" w:hAnsi="Times New Roman"/>
                <w:bCs/>
                <w:sz w:val="24"/>
                <w:szCs w:val="24"/>
                <w:lang w:eastAsia="zh-CN"/>
              </w:rPr>
              <w:t xml:space="preserve"> </w:t>
            </w:r>
            <w:r w:rsidR="00F62382">
              <w:rPr>
                <w:rFonts w:ascii="Times New Roman" w:eastAsia="Times New Roman" w:hAnsi="Times New Roman"/>
                <w:bCs/>
                <w:sz w:val="24"/>
                <w:szCs w:val="24"/>
                <w:lang w:eastAsia="zh-CN"/>
              </w:rPr>
              <w:t xml:space="preserve">vertins pagal konkrečią darbų sutartį planuojamų įsigyti darbų </w:t>
            </w:r>
            <w:r w:rsidR="003E6518">
              <w:rPr>
                <w:rFonts w:ascii="Times New Roman" w:eastAsia="Times New Roman" w:hAnsi="Times New Roman"/>
                <w:bCs/>
                <w:sz w:val="24"/>
                <w:szCs w:val="24"/>
                <w:lang w:eastAsia="zh-CN"/>
              </w:rPr>
              <w:t xml:space="preserve">vertes </w:t>
            </w:r>
            <w:r w:rsidR="00F62382">
              <w:rPr>
                <w:rFonts w:ascii="Times New Roman" w:eastAsia="Times New Roman" w:hAnsi="Times New Roman"/>
                <w:bCs/>
                <w:sz w:val="24"/>
                <w:szCs w:val="24"/>
                <w:lang w:eastAsia="zh-CN"/>
              </w:rPr>
              <w:t>(pvz. Perkančiosios organizacijos perkamų</w:t>
            </w:r>
            <w:r w:rsidR="003E6518">
              <w:rPr>
                <w:rFonts w:ascii="Times New Roman" w:eastAsia="Times New Roman" w:hAnsi="Times New Roman"/>
                <w:bCs/>
                <w:sz w:val="24"/>
                <w:szCs w:val="24"/>
                <w:lang w:eastAsia="zh-CN"/>
              </w:rPr>
              <w:t xml:space="preserve"> pagal Pirkimo sąlygų 8.1 priedą</w:t>
            </w:r>
            <w:r w:rsidR="00F62382">
              <w:rPr>
                <w:rFonts w:ascii="Times New Roman" w:eastAsia="Times New Roman" w:hAnsi="Times New Roman"/>
                <w:bCs/>
                <w:sz w:val="24"/>
                <w:szCs w:val="24"/>
                <w:lang w:eastAsia="zh-CN"/>
              </w:rPr>
              <w:t xml:space="preserve"> darbų daliai tiekėjas nurodys didesnę </w:t>
            </w:r>
            <w:r w:rsidR="003E6518">
              <w:rPr>
                <w:rFonts w:ascii="Times New Roman" w:eastAsia="Times New Roman" w:hAnsi="Times New Roman"/>
                <w:bCs/>
                <w:sz w:val="24"/>
                <w:szCs w:val="24"/>
                <w:lang w:eastAsia="zh-CN"/>
              </w:rPr>
              <w:t>kainą</w:t>
            </w:r>
            <w:r w:rsidR="00F62382">
              <w:rPr>
                <w:rFonts w:ascii="Times New Roman" w:eastAsia="Times New Roman" w:hAnsi="Times New Roman"/>
                <w:bCs/>
                <w:sz w:val="24"/>
                <w:szCs w:val="24"/>
                <w:lang w:eastAsia="zh-CN"/>
              </w:rPr>
              <w:t xml:space="preserve"> negu numatyta </w:t>
            </w:r>
            <w:r w:rsidR="003E6518">
              <w:rPr>
                <w:rFonts w:ascii="Times New Roman" w:eastAsia="Times New Roman" w:hAnsi="Times New Roman"/>
                <w:bCs/>
                <w:sz w:val="24"/>
                <w:szCs w:val="24"/>
                <w:lang w:eastAsia="zh-CN"/>
              </w:rPr>
              <w:t xml:space="preserve">gauti </w:t>
            </w:r>
            <w:r w:rsidR="00F62382">
              <w:rPr>
                <w:rFonts w:ascii="Times New Roman" w:eastAsia="Times New Roman" w:hAnsi="Times New Roman"/>
                <w:bCs/>
                <w:sz w:val="24"/>
                <w:szCs w:val="24"/>
                <w:lang w:eastAsia="zh-CN"/>
              </w:rPr>
              <w:t>finans</w:t>
            </w:r>
            <w:r w:rsidR="003E6518">
              <w:rPr>
                <w:rFonts w:ascii="Times New Roman" w:eastAsia="Times New Roman" w:hAnsi="Times New Roman"/>
                <w:bCs/>
                <w:sz w:val="24"/>
                <w:szCs w:val="24"/>
                <w:lang w:eastAsia="zh-CN"/>
              </w:rPr>
              <w:t>avimo</w:t>
            </w:r>
            <w:r w:rsidR="00F62382">
              <w:rPr>
                <w:rFonts w:ascii="Times New Roman" w:eastAsia="Times New Roman" w:hAnsi="Times New Roman"/>
                <w:bCs/>
                <w:sz w:val="24"/>
                <w:szCs w:val="24"/>
                <w:lang w:eastAsia="zh-CN"/>
              </w:rPr>
              <w:t>, tačiau bendra pasiūlymo kain</w:t>
            </w:r>
            <w:r w:rsidR="00685B24">
              <w:rPr>
                <w:rFonts w:ascii="Times New Roman" w:eastAsia="Times New Roman" w:hAnsi="Times New Roman"/>
                <w:bCs/>
                <w:sz w:val="24"/>
                <w:szCs w:val="24"/>
                <w:lang w:eastAsia="zh-CN"/>
              </w:rPr>
              <w:t>a</w:t>
            </w:r>
            <w:r w:rsidR="00F62382">
              <w:rPr>
                <w:rFonts w:ascii="Times New Roman" w:eastAsia="Times New Roman" w:hAnsi="Times New Roman"/>
                <w:bCs/>
                <w:sz w:val="24"/>
                <w:szCs w:val="24"/>
                <w:lang w:eastAsia="zh-CN"/>
              </w:rPr>
              <w:t xml:space="preserve"> neviršys visam Pirkimui numatytos vertės); </w:t>
            </w:r>
          </w:p>
          <w:p w14:paraId="322495ED" w14:textId="77777777" w:rsidR="007C7A86" w:rsidRPr="00C7523F" w:rsidRDefault="004A2E0C" w:rsidP="00685B24">
            <w:pPr>
              <w:tabs>
                <w:tab w:val="left" w:pos="284"/>
                <w:tab w:val="left" w:pos="851"/>
                <w:tab w:val="left" w:pos="6648"/>
              </w:tabs>
              <w:spacing w:after="0" w:line="240" w:lineRule="auto"/>
              <w:ind w:firstLine="567"/>
              <w:contextualSpacing/>
              <w:jc w:val="both"/>
              <w:rPr>
                <w:rFonts w:ascii="Times New Roman" w:hAnsi="Times New Roman"/>
                <w:bCs/>
                <w:sz w:val="24"/>
                <w:szCs w:val="24"/>
              </w:rPr>
            </w:pPr>
            <w:r w:rsidRPr="00F62382">
              <w:rPr>
                <w:rFonts w:ascii="Times New Roman" w:eastAsia="Times New Roman" w:hAnsi="Times New Roman"/>
                <w:bCs/>
                <w:sz w:val="24"/>
                <w:szCs w:val="24"/>
                <w:lang w:eastAsia="zh-CN"/>
              </w:rPr>
              <w:t xml:space="preserve">Tarnyba pažymi, kad </w:t>
            </w:r>
            <w:r w:rsidR="00685B24">
              <w:rPr>
                <w:rFonts w:ascii="Times New Roman" w:eastAsia="Times New Roman" w:hAnsi="Times New Roman"/>
                <w:bCs/>
                <w:sz w:val="24"/>
                <w:szCs w:val="24"/>
                <w:lang w:eastAsia="zh-CN"/>
              </w:rPr>
              <w:t>P</w:t>
            </w:r>
            <w:r w:rsidRPr="00F62382">
              <w:rPr>
                <w:rFonts w:ascii="Times New Roman" w:eastAsia="Times New Roman" w:hAnsi="Times New Roman"/>
                <w:bCs/>
                <w:sz w:val="24"/>
                <w:szCs w:val="24"/>
                <w:lang w:eastAsia="zh-CN"/>
              </w:rPr>
              <w:t xml:space="preserve">erkančioji organizacija </w:t>
            </w:r>
            <w:r w:rsidR="00AF73D3" w:rsidRPr="00F62382">
              <w:rPr>
                <w:rFonts w:ascii="Times New Roman" w:eastAsia="Times New Roman" w:hAnsi="Times New Roman"/>
                <w:bCs/>
                <w:sz w:val="24"/>
                <w:szCs w:val="24"/>
                <w:lang w:eastAsia="zh-CN"/>
              </w:rPr>
              <w:t>skirting</w:t>
            </w:r>
            <w:r w:rsidR="00685B24">
              <w:rPr>
                <w:rFonts w:ascii="Times New Roman" w:eastAsia="Times New Roman" w:hAnsi="Times New Roman"/>
                <w:bCs/>
                <w:sz w:val="24"/>
                <w:szCs w:val="24"/>
                <w:lang w:eastAsia="zh-CN"/>
              </w:rPr>
              <w:t>u</w:t>
            </w:r>
            <w:r w:rsidR="00AF73D3" w:rsidRPr="00F62382">
              <w:rPr>
                <w:rFonts w:ascii="Times New Roman" w:eastAsia="Times New Roman" w:hAnsi="Times New Roman"/>
                <w:bCs/>
                <w:sz w:val="24"/>
                <w:szCs w:val="24"/>
                <w:lang w:eastAsia="zh-CN"/>
              </w:rPr>
              <w:t xml:space="preserve">ose dokumentuose </w:t>
            </w:r>
            <w:r w:rsidRPr="00F62382">
              <w:rPr>
                <w:rFonts w:ascii="Times New Roman" w:eastAsia="Times New Roman" w:hAnsi="Times New Roman"/>
                <w:bCs/>
                <w:sz w:val="24"/>
                <w:szCs w:val="24"/>
                <w:lang w:eastAsia="zh-CN"/>
              </w:rPr>
              <w:t xml:space="preserve">nustatydama </w:t>
            </w:r>
            <w:r w:rsidR="00AF73D3" w:rsidRPr="00F62382">
              <w:rPr>
                <w:rFonts w:ascii="Times New Roman" w:eastAsia="Times New Roman" w:hAnsi="Times New Roman"/>
                <w:bCs/>
                <w:sz w:val="24"/>
                <w:szCs w:val="24"/>
                <w:lang w:eastAsia="zh-CN"/>
              </w:rPr>
              <w:t xml:space="preserve">skirtingas (netikslias) </w:t>
            </w:r>
            <w:r w:rsidRPr="00F62382">
              <w:rPr>
                <w:rFonts w:ascii="Times New Roman" w:eastAsia="Times New Roman" w:hAnsi="Times New Roman"/>
                <w:bCs/>
                <w:sz w:val="24"/>
                <w:szCs w:val="24"/>
                <w:lang w:eastAsia="zh-CN"/>
              </w:rPr>
              <w:t>numatom</w:t>
            </w:r>
            <w:r w:rsidR="00885655">
              <w:rPr>
                <w:rFonts w:ascii="Times New Roman" w:eastAsia="Times New Roman" w:hAnsi="Times New Roman"/>
                <w:bCs/>
                <w:sz w:val="24"/>
                <w:szCs w:val="24"/>
                <w:lang w:eastAsia="zh-CN"/>
              </w:rPr>
              <w:t xml:space="preserve">ų </w:t>
            </w:r>
            <w:r w:rsidRPr="00F62382">
              <w:rPr>
                <w:rFonts w:ascii="Times New Roman" w:eastAsia="Times New Roman" w:hAnsi="Times New Roman"/>
                <w:bCs/>
                <w:sz w:val="24"/>
                <w:szCs w:val="24"/>
                <w:lang w:eastAsia="zh-CN"/>
              </w:rPr>
              <w:t>sudaryti pirkimo sutar</w:t>
            </w:r>
            <w:r w:rsidR="00AF73D3" w:rsidRPr="00F62382">
              <w:rPr>
                <w:rFonts w:ascii="Times New Roman" w:eastAsia="Times New Roman" w:hAnsi="Times New Roman"/>
                <w:bCs/>
                <w:sz w:val="24"/>
                <w:szCs w:val="24"/>
                <w:lang w:eastAsia="zh-CN"/>
              </w:rPr>
              <w:t>čių</w:t>
            </w:r>
            <w:r w:rsidRPr="00F62382">
              <w:rPr>
                <w:rFonts w:ascii="Times New Roman" w:eastAsia="Times New Roman" w:hAnsi="Times New Roman"/>
                <w:bCs/>
                <w:sz w:val="24"/>
                <w:szCs w:val="24"/>
                <w:lang w:eastAsia="zh-CN"/>
              </w:rPr>
              <w:t xml:space="preserve"> preliminari</w:t>
            </w:r>
            <w:r w:rsidR="00AF73D3" w:rsidRPr="00F62382">
              <w:rPr>
                <w:rFonts w:ascii="Times New Roman" w:eastAsia="Times New Roman" w:hAnsi="Times New Roman"/>
                <w:bCs/>
                <w:sz w:val="24"/>
                <w:szCs w:val="24"/>
                <w:lang w:eastAsia="zh-CN"/>
              </w:rPr>
              <w:t>as</w:t>
            </w:r>
            <w:r w:rsidRPr="00F62382">
              <w:rPr>
                <w:rFonts w:ascii="Times New Roman" w:eastAsia="Times New Roman" w:hAnsi="Times New Roman"/>
                <w:bCs/>
                <w:sz w:val="24"/>
                <w:szCs w:val="24"/>
                <w:lang w:eastAsia="zh-CN"/>
              </w:rPr>
              <w:t xml:space="preserve"> vert</w:t>
            </w:r>
            <w:r w:rsidR="00885655">
              <w:rPr>
                <w:rFonts w:ascii="Times New Roman" w:eastAsia="Times New Roman" w:hAnsi="Times New Roman"/>
                <w:bCs/>
                <w:sz w:val="24"/>
                <w:szCs w:val="24"/>
                <w:lang w:eastAsia="zh-CN"/>
              </w:rPr>
              <w:t>e</w:t>
            </w:r>
            <w:r w:rsidRPr="00F62382">
              <w:rPr>
                <w:rFonts w:ascii="Times New Roman" w:eastAsia="Times New Roman" w:hAnsi="Times New Roman"/>
                <w:bCs/>
                <w:sz w:val="24"/>
                <w:szCs w:val="24"/>
                <w:lang w:eastAsia="zh-CN"/>
              </w:rPr>
              <w:t>s,</w:t>
            </w:r>
            <w:r w:rsidR="003E6518">
              <w:rPr>
                <w:rFonts w:ascii="Times New Roman" w:eastAsia="Times New Roman" w:hAnsi="Times New Roman"/>
                <w:bCs/>
                <w:sz w:val="24"/>
                <w:szCs w:val="24"/>
                <w:lang w:eastAsia="zh-CN"/>
              </w:rPr>
              <w:t xml:space="preserve"> bei nenustatydama atskirų verčių Pirkimo objektą sudaranči</w:t>
            </w:r>
            <w:r w:rsidR="00885655">
              <w:rPr>
                <w:rFonts w:ascii="Times New Roman" w:eastAsia="Times New Roman" w:hAnsi="Times New Roman"/>
                <w:bCs/>
                <w:sz w:val="24"/>
                <w:szCs w:val="24"/>
                <w:lang w:eastAsia="zh-CN"/>
              </w:rPr>
              <w:t>ų</w:t>
            </w:r>
            <w:r w:rsidR="003E6518">
              <w:rPr>
                <w:rFonts w:ascii="Times New Roman" w:eastAsia="Times New Roman" w:hAnsi="Times New Roman"/>
                <w:bCs/>
                <w:sz w:val="24"/>
                <w:szCs w:val="24"/>
                <w:lang w:eastAsia="zh-CN"/>
              </w:rPr>
              <w:t xml:space="preserve"> darbų pozicijoms,</w:t>
            </w:r>
            <w:r w:rsidRPr="00F62382">
              <w:rPr>
                <w:rFonts w:ascii="Times New Roman" w:eastAsia="Times New Roman" w:hAnsi="Times New Roman"/>
                <w:bCs/>
                <w:sz w:val="24"/>
                <w:szCs w:val="24"/>
                <w:lang w:eastAsia="zh-CN"/>
              </w:rPr>
              <w:t xml:space="preserve"> netu</w:t>
            </w:r>
            <w:r w:rsidR="00AF73D3" w:rsidRPr="00F62382">
              <w:rPr>
                <w:rFonts w:ascii="Times New Roman" w:eastAsia="Times New Roman" w:hAnsi="Times New Roman"/>
                <w:bCs/>
                <w:sz w:val="24"/>
                <w:szCs w:val="24"/>
                <w:lang w:eastAsia="zh-CN"/>
              </w:rPr>
              <w:t>ri</w:t>
            </w:r>
            <w:r w:rsidRPr="00F62382">
              <w:rPr>
                <w:rFonts w:ascii="Times New Roman" w:eastAsia="Times New Roman" w:hAnsi="Times New Roman"/>
                <w:bCs/>
                <w:sz w:val="24"/>
                <w:szCs w:val="24"/>
                <w:lang w:eastAsia="zh-CN"/>
              </w:rPr>
              <w:t xml:space="preserve"> galimybės užtikrinti Taisyklių </w:t>
            </w:r>
            <w:r w:rsidR="00AF73D3" w:rsidRPr="00F62382">
              <w:rPr>
                <w:rFonts w:ascii="Times New Roman" w:eastAsia="Times New Roman" w:hAnsi="Times New Roman"/>
                <w:bCs/>
                <w:sz w:val="24"/>
                <w:szCs w:val="24"/>
                <w:lang w:eastAsia="zh-CN"/>
              </w:rPr>
              <w:t>32.8</w:t>
            </w:r>
            <w:r w:rsidRPr="00F62382">
              <w:rPr>
                <w:rFonts w:ascii="Times New Roman" w:eastAsia="Times New Roman" w:hAnsi="Times New Roman"/>
                <w:bCs/>
                <w:sz w:val="24"/>
                <w:szCs w:val="24"/>
                <w:lang w:eastAsia="zh-CN"/>
              </w:rPr>
              <w:t xml:space="preserve"> ir </w:t>
            </w:r>
            <w:r w:rsidR="00AF73D3" w:rsidRPr="00F62382">
              <w:rPr>
                <w:rFonts w:ascii="Times New Roman" w:eastAsia="Times New Roman" w:hAnsi="Times New Roman"/>
                <w:bCs/>
                <w:sz w:val="24"/>
                <w:szCs w:val="24"/>
                <w:lang w:eastAsia="zh-CN"/>
              </w:rPr>
              <w:t>32.9</w:t>
            </w:r>
            <w:r w:rsidRPr="00F62382">
              <w:rPr>
                <w:rFonts w:ascii="Times New Roman" w:eastAsia="Times New Roman" w:hAnsi="Times New Roman"/>
                <w:bCs/>
                <w:sz w:val="24"/>
                <w:szCs w:val="24"/>
                <w:lang w:eastAsia="zh-CN"/>
              </w:rPr>
              <w:t xml:space="preserve"> punktų nuostatų laikymosi, nes vertindama pasiūlymus negalė</w:t>
            </w:r>
            <w:r w:rsidR="00AF73D3" w:rsidRPr="00F62382">
              <w:rPr>
                <w:rFonts w:ascii="Times New Roman" w:eastAsia="Times New Roman" w:hAnsi="Times New Roman"/>
                <w:bCs/>
                <w:sz w:val="24"/>
                <w:szCs w:val="24"/>
                <w:lang w:eastAsia="zh-CN"/>
              </w:rPr>
              <w:t>s</w:t>
            </w:r>
            <w:r w:rsidRPr="00F62382">
              <w:rPr>
                <w:rFonts w:ascii="Times New Roman" w:eastAsia="Times New Roman" w:hAnsi="Times New Roman"/>
                <w:bCs/>
                <w:sz w:val="24"/>
                <w:szCs w:val="24"/>
                <w:lang w:eastAsia="zh-CN"/>
              </w:rPr>
              <w:t xml:space="preserve"> priimti pagrįstų sprendimų ar tiekėjų pasiūlytos kainos nėra per didelės, ar neįprastai mažos.</w:t>
            </w:r>
            <w:r w:rsidR="00451C6E">
              <w:rPr>
                <w:rFonts w:ascii="Times New Roman" w:eastAsia="Times New Roman" w:hAnsi="Times New Roman"/>
                <w:bCs/>
                <w:sz w:val="24"/>
                <w:szCs w:val="24"/>
                <w:lang w:eastAsia="zh-CN"/>
              </w:rPr>
              <w:t xml:space="preserve"> </w:t>
            </w:r>
          </w:p>
        </w:tc>
      </w:tr>
      <w:tr w:rsidR="007C7A86" w:rsidRPr="008B62D7" w14:paraId="4482694B" w14:textId="77777777" w:rsidTr="00C7523F">
        <w:tc>
          <w:tcPr>
            <w:tcW w:w="675" w:type="dxa"/>
            <w:shd w:val="clear" w:color="auto" w:fill="auto"/>
            <w:vAlign w:val="center"/>
          </w:tcPr>
          <w:p w14:paraId="33AF815B" w14:textId="77777777" w:rsidR="007C7A86" w:rsidRPr="008B62D7" w:rsidRDefault="007C7A86"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6F0240F2" w14:textId="77777777" w:rsidR="007C7A86" w:rsidRPr="008B62D7" w:rsidRDefault="004A2E0C" w:rsidP="004A2E0C">
            <w:pPr>
              <w:pStyle w:val="Normal12pt"/>
              <w:tabs>
                <w:tab w:val="clear" w:pos="737"/>
                <w:tab w:val="left" w:pos="993"/>
              </w:tabs>
              <w:ind w:right="0"/>
              <w:rPr>
                <w:bCs/>
              </w:rPr>
            </w:pPr>
            <w:r w:rsidRPr="008B62D7">
              <w:t>Taisyklių  22.9 punktas</w:t>
            </w:r>
            <w:r w:rsidRPr="008B62D7">
              <w:rPr>
                <w:rStyle w:val="FootnoteReference"/>
              </w:rPr>
              <w:footnoteReference w:id="28"/>
            </w:r>
            <w:r w:rsidRPr="008B62D7">
              <w:t>, Įstatymo 85 straipsnio 2 dalis</w:t>
            </w:r>
            <w:r w:rsidRPr="008B62D7">
              <w:rPr>
                <w:rStyle w:val="FootnoteReference"/>
              </w:rPr>
              <w:footnoteReference w:id="29"/>
            </w:r>
            <w:r w:rsidRPr="008B62D7">
              <w:t>, 87 straipsnio 1 dalis</w:t>
            </w:r>
            <w:r w:rsidRPr="008B62D7">
              <w:rPr>
                <w:rStyle w:val="FootnoteReference"/>
              </w:rPr>
              <w:footnoteReference w:id="30"/>
            </w:r>
            <w:r w:rsidRPr="008B62D7">
              <w:t>, 32 straipsnio 2 dalis</w:t>
            </w:r>
            <w:r w:rsidRPr="008B62D7">
              <w:rPr>
                <w:rStyle w:val="FootnoteReference"/>
              </w:rPr>
              <w:footnoteReference w:id="31"/>
            </w:r>
            <w:r w:rsidR="007C7A86" w:rsidRPr="007C7A86">
              <w:rPr>
                <w:bCs/>
              </w:rPr>
              <w:t>, Įstatymo 3 straipsnio 2 dalis</w:t>
            </w:r>
            <w:r w:rsidR="007C7A86" w:rsidRPr="007C7A86">
              <w:rPr>
                <w:bCs/>
                <w:vertAlign w:val="superscript"/>
              </w:rPr>
              <w:footnoteReference w:id="32"/>
            </w:r>
          </w:p>
        </w:tc>
      </w:tr>
      <w:tr w:rsidR="003C1DE9" w:rsidRPr="008B62D7" w14:paraId="6DC53970" w14:textId="77777777" w:rsidTr="00C7523F">
        <w:tc>
          <w:tcPr>
            <w:tcW w:w="9836" w:type="dxa"/>
            <w:gridSpan w:val="2"/>
            <w:shd w:val="clear" w:color="auto" w:fill="auto"/>
            <w:vAlign w:val="center"/>
          </w:tcPr>
          <w:p w14:paraId="5A0E32F1" w14:textId="77777777" w:rsidR="003C1DE9" w:rsidRPr="008B62D7" w:rsidRDefault="00657F76" w:rsidP="00FC262B">
            <w:pPr>
              <w:tabs>
                <w:tab w:val="left" w:pos="709"/>
              </w:tabs>
              <w:spacing w:after="0" w:line="240" w:lineRule="auto"/>
              <w:ind w:firstLine="567"/>
              <w:jc w:val="both"/>
              <w:rPr>
                <w:rFonts w:ascii="Times New Roman" w:hAnsi="Times New Roman"/>
                <w:bCs/>
                <w:sz w:val="24"/>
                <w:szCs w:val="24"/>
              </w:rPr>
            </w:pPr>
            <w:r w:rsidRPr="008B62D7">
              <w:rPr>
                <w:rFonts w:ascii="Times New Roman" w:eastAsia="Times New Roman" w:hAnsi="Times New Roman"/>
                <w:sz w:val="24"/>
                <w:szCs w:val="24"/>
                <w:lang w:eastAsia="zh-CN"/>
              </w:rPr>
              <w:t xml:space="preserve">Perkančioji organizacija </w:t>
            </w:r>
            <w:r w:rsidR="00C61B83" w:rsidRPr="008B62D7">
              <w:rPr>
                <w:rFonts w:ascii="Times New Roman" w:eastAsia="Times New Roman" w:hAnsi="Times New Roman"/>
                <w:sz w:val="24"/>
                <w:szCs w:val="24"/>
                <w:lang w:eastAsia="zh-CN"/>
              </w:rPr>
              <w:t>Skelbim</w:t>
            </w:r>
            <w:r w:rsidR="00465199" w:rsidRPr="008B62D7">
              <w:rPr>
                <w:rFonts w:ascii="Times New Roman" w:eastAsia="Times New Roman" w:hAnsi="Times New Roman"/>
                <w:sz w:val="24"/>
                <w:szCs w:val="24"/>
                <w:lang w:eastAsia="zh-CN"/>
              </w:rPr>
              <w:t>o dėl papildomos informacijos arba pataisos</w:t>
            </w:r>
            <w:r w:rsidR="003A4327" w:rsidRPr="008B62D7">
              <w:rPr>
                <w:rFonts w:ascii="Times New Roman" w:eastAsia="Times New Roman" w:hAnsi="Times New Roman"/>
                <w:sz w:val="24"/>
                <w:szCs w:val="24"/>
                <w:lang w:eastAsia="zh-CN"/>
              </w:rPr>
              <w:t xml:space="preserve"> </w:t>
            </w:r>
            <w:r w:rsidR="00465199" w:rsidRPr="008B62D7">
              <w:rPr>
                <w:rFonts w:ascii="Times New Roman" w:eastAsia="Times New Roman" w:hAnsi="Times New Roman"/>
                <w:sz w:val="24"/>
                <w:szCs w:val="24"/>
                <w:lang w:eastAsia="zh-CN"/>
              </w:rPr>
              <w:t xml:space="preserve">IV.2.3 punkto 13 papunktyje </w:t>
            </w:r>
            <w:r w:rsidRPr="008B62D7">
              <w:rPr>
                <w:rFonts w:ascii="Times New Roman" w:eastAsia="Times New Roman" w:hAnsi="Times New Roman"/>
                <w:sz w:val="24"/>
                <w:szCs w:val="24"/>
                <w:lang w:eastAsia="zh-CN"/>
              </w:rPr>
              <w:t xml:space="preserve">nurodė reikalavimą tiekėjui turėti arba kitais pagrindais naudoti stacionarias ar mobilias </w:t>
            </w:r>
            <w:r w:rsidR="00465199" w:rsidRPr="008B62D7">
              <w:rPr>
                <w:rFonts w:ascii="Times New Roman" w:eastAsia="Times New Roman" w:hAnsi="Times New Roman"/>
                <w:sz w:val="24"/>
                <w:szCs w:val="24"/>
                <w:lang w:eastAsia="zh-CN"/>
              </w:rPr>
              <w:t>asfaltbetonio</w:t>
            </w:r>
            <w:r w:rsidRPr="008B62D7">
              <w:rPr>
                <w:rFonts w:ascii="Times New Roman" w:eastAsia="Times New Roman" w:hAnsi="Times New Roman"/>
                <w:sz w:val="24"/>
                <w:szCs w:val="24"/>
                <w:lang w:eastAsia="zh-CN"/>
              </w:rPr>
              <w:t xml:space="preserve"> gamyklas, technologiškai pagrįstu atstumu (ne daugiau nei 1</w:t>
            </w:r>
            <w:r w:rsidR="005077A0" w:rsidRPr="008B62D7">
              <w:rPr>
                <w:rFonts w:ascii="Times New Roman" w:eastAsia="Times New Roman" w:hAnsi="Times New Roman"/>
                <w:sz w:val="24"/>
                <w:szCs w:val="24"/>
                <w:lang w:eastAsia="zh-CN"/>
              </w:rPr>
              <w:t>60</w:t>
            </w:r>
            <w:r w:rsidRPr="008B62D7">
              <w:rPr>
                <w:rFonts w:ascii="Times New Roman" w:eastAsia="Times New Roman" w:hAnsi="Times New Roman"/>
                <w:sz w:val="24"/>
                <w:szCs w:val="24"/>
                <w:lang w:eastAsia="zh-CN"/>
              </w:rPr>
              <w:t xml:space="preserve"> km) nuo statomo objekto. Dėl minėto reikalavimo </w:t>
            </w:r>
            <w:r w:rsidR="008959DF">
              <w:rPr>
                <w:rFonts w:ascii="Times New Roman" w:eastAsia="Times New Roman" w:hAnsi="Times New Roman"/>
                <w:sz w:val="24"/>
                <w:szCs w:val="24"/>
                <w:lang w:eastAsia="zh-CN"/>
              </w:rPr>
              <w:t>P</w:t>
            </w:r>
            <w:r w:rsidR="008959DF" w:rsidRPr="008B62D7">
              <w:rPr>
                <w:rFonts w:ascii="Times New Roman" w:eastAsia="Times New Roman" w:hAnsi="Times New Roman"/>
                <w:sz w:val="24"/>
                <w:szCs w:val="24"/>
                <w:lang w:eastAsia="zh-CN"/>
              </w:rPr>
              <w:t xml:space="preserve">erkančioji </w:t>
            </w:r>
            <w:r w:rsidRPr="008B62D7">
              <w:rPr>
                <w:rFonts w:ascii="Times New Roman" w:eastAsia="Times New Roman" w:hAnsi="Times New Roman"/>
                <w:sz w:val="24"/>
                <w:szCs w:val="24"/>
                <w:lang w:eastAsia="zh-CN"/>
              </w:rPr>
              <w:t xml:space="preserve">organizacija </w:t>
            </w:r>
            <w:r w:rsidR="005077A0" w:rsidRPr="008B62D7">
              <w:rPr>
                <w:rFonts w:ascii="Times New Roman" w:eastAsia="Times New Roman" w:hAnsi="Times New Roman"/>
                <w:sz w:val="24"/>
                <w:szCs w:val="24"/>
                <w:lang w:eastAsia="zh-CN"/>
              </w:rPr>
              <w:t>Tarnybai 2017-07-13 raštu Nr. (5.54)R</w:t>
            </w:r>
            <w:r w:rsidR="005077A0" w:rsidRPr="008B62D7">
              <w:rPr>
                <w:rFonts w:ascii="Times New Roman" w:eastAsia="Times New Roman" w:hAnsi="Times New Roman"/>
                <w:sz w:val="24"/>
                <w:szCs w:val="24"/>
                <w:vertAlign w:val="subscript"/>
                <w:lang w:eastAsia="zh-CN"/>
              </w:rPr>
              <w:t>5</w:t>
            </w:r>
            <w:r w:rsidR="005077A0" w:rsidRPr="008B62D7">
              <w:rPr>
                <w:rFonts w:ascii="Times New Roman" w:eastAsia="Times New Roman" w:hAnsi="Times New Roman"/>
                <w:sz w:val="24"/>
                <w:szCs w:val="24"/>
                <w:lang w:eastAsia="zh-CN"/>
              </w:rPr>
              <w:t>-2024 pateikė</w:t>
            </w:r>
            <w:r w:rsidRPr="008B62D7">
              <w:rPr>
                <w:rFonts w:ascii="Times New Roman" w:eastAsia="Times New Roman" w:hAnsi="Times New Roman"/>
                <w:sz w:val="24"/>
                <w:szCs w:val="24"/>
                <w:lang w:eastAsia="zh-CN"/>
              </w:rPr>
              <w:t xml:space="preserve"> </w:t>
            </w:r>
            <w:r w:rsidR="00797F26">
              <w:rPr>
                <w:rFonts w:ascii="Times New Roman" w:eastAsia="Times New Roman" w:hAnsi="Times New Roman"/>
                <w:sz w:val="24"/>
                <w:szCs w:val="24"/>
                <w:lang w:eastAsia="zh-CN"/>
              </w:rPr>
              <w:t>p</w:t>
            </w:r>
            <w:r w:rsidRPr="008B62D7">
              <w:rPr>
                <w:rFonts w:ascii="Times New Roman" w:eastAsia="Times New Roman" w:hAnsi="Times New Roman"/>
                <w:sz w:val="24"/>
                <w:szCs w:val="24"/>
                <w:lang w:eastAsia="zh-CN"/>
              </w:rPr>
              <w:t xml:space="preserve">agrindimą, teigdama, kad </w:t>
            </w:r>
            <w:r w:rsidR="005077A0" w:rsidRPr="008B62D7">
              <w:rPr>
                <w:rFonts w:ascii="Times New Roman" w:eastAsia="Times New Roman" w:hAnsi="Times New Roman"/>
                <w:sz w:val="24"/>
                <w:szCs w:val="24"/>
                <w:lang w:eastAsia="zh-CN"/>
              </w:rPr>
              <w:t xml:space="preserve">tiekėjas privalės užtikrinti nuolatinį nepertraukiamą asfalto tiekimą į pirkimo objektą, nustatytas atstumas yra technologiškai pagrįstas ir būtinas, užtikrinant kokybiškų asfalto mišinių pristatymą, kadangi gabenant asfaltą didesniu negu 160 km atstumu, asfaltas pradeda segreguotis (sluoksniuotis) ir nėra tinkamas darbų atlikimui, o jei asfalto maišyklė būtų toliau nei 160 km nuo pirkimo objekto vietos, savalaikis ir nepertraukiamas kokybiškų asfalto mišinių gabenimas būtų sudėtingas. </w:t>
            </w:r>
            <w:r w:rsidRPr="008B62D7">
              <w:rPr>
                <w:rFonts w:ascii="Times New Roman" w:eastAsia="Times New Roman" w:hAnsi="Times New Roman"/>
                <w:sz w:val="24"/>
                <w:szCs w:val="24"/>
                <w:lang w:eastAsia="zh-CN"/>
              </w:rPr>
              <w:t xml:space="preserve">Tarnyba neneigia </w:t>
            </w:r>
            <w:r w:rsidR="008959DF">
              <w:rPr>
                <w:rFonts w:ascii="Times New Roman" w:eastAsia="Times New Roman" w:hAnsi="Times New Roman"/>
                <w:sz w:val="24"/>
                <w:szCs w:val="24"/>
                <w:lang w:eastAsia="zh-CN"/>
              </w:rPr>
              <w:t>P</w:t>
            </w:r>
            <w:r w:rsidR="008959DF" w:rsidRPr="008B62D7">
              <w:rPr>
                <w:rFonts w:ascii="Times New Roman" w:eastAsia="Times New Roman" w:hAnsi="Times New Roman"/>
                <w:sz w:val="24"/>
                <w:szCs w:val="24"/>
                <w:lang w:eastAsia="zh-CN"/>
              </w:rPr>
              <w:t xml:space="preserve">erkančiosios </w:t>
            </w:r>
            <w:r w:rsidRPr="008B62D7">
              <w:rPr>
                <w:rFonts w:ascii="Times New Roman" w:eastAsia="Times New Roman" w:hAnsi="Times New Roman"/>
                <w:sz w:val="24"/>
                <w:szCs w:val="24"/>
                <w:lang w:eastAsia="zh-CN"/>
              </w:rPr>
              <w:t xml:space="preserve">organizacijos argumentų dėl jos siekio, kelių dangai naudoti kokybišką asfaltą, tačiau nurodytas atstumas ir tik tiekėjų kvalifikacijos vertinimo metu tiekėjo deklaravimas apie gamyklos buvimo vietą, Tarnybos nuomone, neužtikrina ir negarantuoja tiekiamo asfalto kokybės. Nustatytas reikalavimas, kurio atitikties įvertinimui akcentuojamas asfalto gamyklos tam tikru atstumu </w:t>
            </w:r>
            <w:r w:rsidRPr="008B62D7">
              <w:rPr>
                <w:rFonts w:ascii="Times New Roman" w:eastAsia="Times New Roman" w:hAnsi="Times New Roman"/>
                <w:sz w:val="24"/>
                <w:szCs w:val="24"/>
                <w:lang w:eastAsia="zh-CN"/>
              </w:rPr>
              <w:lastRenderedPageBreak/>
              <w:t>turėjimas, arba reikalavimas, jeigu asfalto mišinys transportuojamas didesniu kaip 1</w:t>
            </w:r>
            <w:r w:rsidR="005077A0" w:rsidRPr="008B62D7">
              <w:rPr>
                <w:rFonts w:ascii="Times New Roman" w:eastAsia="Times New Roman" w:hAnsi="Times New Roman"/>
                <w:sz w:val="24"/>
                <w:szCs w:val="24"/>
                <w:lang w:eastAsia="zh-CN"/>
              </w:rPr>
              <w:t>60</w:t>
            </w:r>
            <w:r w:rsidRPr="008B62D7">
              <w:rPr>
                <w:rFonts w:ascii="Times New Roman" w:eastAsia="Times New Roman" w:hAnsi="Times New Roman"/>
                <w:sz w:val="24"/>
                <w:szCs w:val="24"/>
                <w:lang w:eastAsia="zh-CN"/>
              </w:rPr>
              <w:t xml:space="preserve"> km atstumu, tiekėjas turi turėti ar kitais pagrindais naudoti mobil</w:t>
            </w:r>
            <w:r w:rsidR="005077A0" w:rsidRPr="008B62D7">
              <w:rPr>
                <w:rFonts w:ascii="Times New Roman" w:eastAsia="Times New Roman" w:hAnsi="Times New Roman"/>
                <w:sz w:val="24"/>
                <w:szCs w:val="24"/>
                <w:lang w:eastAsia="zh-CN"/>
              </w:rPr>
              <w:t>ią</w:t>
            </w:r>
            <w:r w:rsidRPr="008B62D7">
              <w:rPr>
                <w:rFonts w:ascii="Times New Roman" w:eastAsia="Times New Roman" w:hAnsi="Times New Roman"/>
                <w:sz w:val="24"/>
                <w:szCs w:val="24"/>
                <w:lang w:eastAsia="zh-CN"/>
              </w:rPr>
              <w:t xml:space="preserve"> asfalto </w:t>
            </w:r>
            <w:r w:rsidR="005077A0" w:rsidRPr="008B62D7">
              <w:rPr>
                <w:rFonts w:ascii="Times New Roman" w:eastAsia="Times New Roman" w:hAnsi="Times New Roman"/>
                <w:sz w:val="24"/>
                <w:szCs w:val="24"/>
                <w:lang w:eastAsia="zh-CN"/>
              </w:rPr>
              <w:t>gamyklą</w:t>
            </w:r>
            <w:r w:rsidRPr="008B62D7">
              <w:rPr>
                <w:rFonts w:ascii="Times New Roman" w:eastAsia="Times New Roman" w:hAnsi="Times New Roman"/>
                <w:sz w:val="24"/>
                <w:szCs w:val="24"/>
                <w:lang w:eastAsia="zh-CN"/>
              </w:rPr>
              <w:t>, neįrodo tiekėjo kompetencijos ir gebėjimo patiekti keli</w:t>
            </w:r>
            <w:r w:rsidR="005077A0" w:rsidRPr="008B62D7">
              <w:rPr>
                <w:rFonts w:ascii="Times New Roman" w:eastAsia="Times New Roman" w:hAnsi="Times New Roman"/>
                <w:sz w:val="24"/>
                <w:szCs w:val="24"/>
                <w:lang w:eastAsia="zh-CN"/>
              </w:rPr>
              <w:t>o</w:t>
            </w:r>
            <w:r w:rsidRPr="008B62D7">
              <w:rPr>
                <w:rFonts w:ascii="Times New Roman" w:eastAsia="Times New Roman" w:hAnsi="Times New Roman"/>
                <w:sz w:val="24"/>
                <w:szCs w:val="24"/>
                <w:lang w:eastAsia="zh-CN"/>
              </w:rPr>
              <w:t xml:space="preserve"> rekonstravimui kokybiškas medžiagas, o dirbtinai apriboja tiekėjų, galinčių pasiūlyti įsigyti asfalto mišinių iš gamyklų, esančių didesniu nei nurodytu atstumu nuo darbų atlikimo vietos, </w:t>
            </w:r>
            <w:r w:rsidR="00C143CE">
              <w:rPr>
                <w:rFonts w:ascii="Times New Roman" w:eastAsia="Times New Roman" w:hAnsi="Times New Roman"/>
                <w:sz w:val="24"/>
                <w:szCs w:val="24"/>
                <w:lang w:eastAsia="zh-CN"/>
              </w:rPr>
              <w:t>skaičių</w:t>
            </w:r>
            <w:r w:rsidR="00797F26">
              <w:rPr>
                <w:rFonts w:ascii="Times New Roman" w:eastAsia="Times New Roman" w:hAnsi="Times New Roman"/>
                <w:sz w:val="24"/>
                <w:szCs w:val="24"/>
                <w:lang w:eastAsia="zh-CN"/>
              </w:rPr>
              <w:t>. T</w:t>
            </w:r>
            <w:r w:rsidRPr="008B62D7">
              <w:rPr>
                <w:rFonts w:ascii="Times New Roman" w:eastAsia="Times New Roman" w:hAnsi="Times New Roman"/>
                <w:sz w:val="24"/>
                <w:szCs w:val="24"/>
                <w:lang w:eastAsia="zh-CN"/>
              </w:rPr>
              <w:t>aip pat toks reikalavimas nėra proporcingas, atsižvelgiant į tai, kad gabenamo asfalto kokybė tiesiogiai nepriklauso tik nuo atstumo, bet priklauso ir nuo kitų veiksnių. Atsižvelgdama į tai, Tarnyba daro išvadą, kad tokio reikalavimo nustatymas ir formalus įvertinimas neužtikrina Įstatymo 32 straipsnio 2 dalies nuostatų, ir Įstatymo 3 straipsnio 2 dalyje nustatyto pirkimų tikslo pasiekimo.</w:t>
            </w:r>
            <w:r w:rsidRPr="008B62D7">
              <w:rPr>
                <w:rFonts w:ascii="Times New Roman" w:eastAsia="Times New Roman" w:hAnsi="Times New Roman"/>
                <w:color w:val="00B0F0"/>
                <w:sz w:val="24"/>
                <w:szCs w:val="24"/>
                <w:lang w:eastAsia="zh-CN"/>
              </w:rPr>
              <w:t xml:space="preserve"> </w:t>
            </w:r>
            <w:r w:rsidRPr="008B62D7">
              <w:rPr>
                <w:rFonts w:ascii="Times New Roman" w:eastAsia="Times New Roman" w:hAnsi="Times New Roman"/>
                <w:sz w:val="24"/>
                <w:szCs w:val="24"/>
                <w:lang w:eastAsia="zh-CN"/>
              </w:rPr>
              <w:t>Perkančioji organizacija, norėdama užtikrinti tinkamą sutarčių vykdymą, tiekiamų medžiagų kokybę bei teisės aktuose asfalto mišiniams keliamus reikalavimus, ypatingai įvertinus tą aplinkybę, kad nuo to priklauso darbo rezultatas, turi nustatyti tokius reikalavimus ir pasirinkti tokius saugiklius, kad turėtų galimybę, sutarties vykdymo metu prižiūrėti ir kontroliuoti tiekiamo į statybos vietą asfalto mišinių kokybę, o už nekokybiškos būklės asfalto mišinių pristatymą pareikalauti iš tiekėjo atsakomybės. Atsižvelgiant į tai, kad tinkamo sutarties įvykdymo (kelio dangos kokybės) negarantuoja nurodytu atstumu deklaruota asfalto gamykla, bet didžiąja dalimi nulemia aplinkybės ir kiti veiksniai pačios sutarties vykdymo metu, Tarnybos nuomone, Perkančioji organizacija turėtų svarstyti apie tam tikrų reikalavimų, būdų ir priemonių nustatymą</w:t>
            </w:r>
            <w:r w:rsidR="00C143CE" w:rsidRPr="008B62D7">
              <w:rPr>
                <w:rFonts w:ascii="Times New Roman" w:eastAsia="Times New Roman" w:hAnsi="Times New Roman"/>
                <w:sz w:val="24"/>
                <w:szCs w:val="24"/>
                <w:lang w:eastAsia="zh-CN"/>
              </w:rPr>
              <w:t xml:space="preserve"> </w:t>
            </w:r>
            <w:r w:rsidR="00C143CE">
              <w:rPr>
                <w:rFonts w:ascii="Times New Roman" w:eastAsia="Times New Roman" w:hAnsi="Times New Roman"/>
                <w:sz w:val="24"/>
                <w:szCs w:val="24"/>
                <w:lang w:eastAsia="zh-CN"/>
              </w:rPr>
              <w:t xml:space="preserve">Pirkimo </w:t>
            </w:r>
            <w:r w:rsidR="00C143CE" w:rsidRPr="008B62D7">
              <w:rPr>
                <w:rFonts w:ascii="Times New Roman" w:eastAsia="Times New Roman" w:hAnsi="Times New Roman"/>
                <w:sz w:val="24"/>
                <w:szCs w:val="24"/>
                <w:lang w:eastAsia="zh-CN"/>
              </w:rPr>
              <w:t>sutartyje</w:t>
            </w:r>
            <w:r w:rsidRPr="008B62D7">
              <w:rPr>
                <w:rFonts w:ascii="Times New Roman" w:eastAsia="Times New Roman" w:hAnsi="Times New Roman"/>
                <w:sz w:val="24"/>
                <w:szCs w:val="24"/>
                <w:lang w:eastAsia="zh-CN"/>
              </w:rPr>
              <w:t>, tokiu būdu sutarties vykdymo metu užtikrindama tiekiamo asfalto kokybės kontrolę.</w:t>
            </w:r>
          </w:p>
        </w:tc>
      </w:tr>
      <w:tr w:rsidR="00C61B83" w:rsidRPr="008B62D7" w14:paraId="553C7383" w14:textId="77777777" w:rsidTr="00C7523F">
        <w:tc>
          <w:tcPr>
            <w:tcW w:w="675" w:type="dxa"/>
            <w:shd w:val="clear" w:color="auto" w:fill="auto"/>
            <w:vAlign w:val="center"/>
          </w:tcPr>
          <w:p w14:paraId="4239817D" w14:textId="77777777" w:rsidR="00C61B83" w:rsidRPr="008B62D7" w:rsidRDefault="00C61B83"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33295F5E" w14:textId="77777777" w:rsidR="00C61B83" w:rsidRPr="008B62D7" w:rsidRDefault="003E6518" w:rsidP="00BD5DD6">
            <w:pPr>
              <w:pStyle w:val="Normal12pt"/>
              <w:tabs>
                <w:tab w:val="clear" w:pos="737"/>
                <w:tab w:val="left" w:pos="993"/>
              </w:tabs>
              <w:ind w:right="0"/>
              <w:rPr>
                <w:bCs/>
              </w:rPr>
            </w:pPr>
            <w:r>
              <w:rPr>
                <w:bCs/>
              </w:rPr>
              <w:t>Taisyklių 34.5 punktas</w:t>
            </w:r>
            <w:r>
              <w:rPr>
                <w:rStyle w:val="FootnoteReference"/>
                <w:bCs/>
              </w:rPr>
              <w:footnoteReference w:id="33"/>
            </w:r>
            <w:r>
              <w:rPr>
                <w:bCs/>
              </w:rPr>
              <w:t>, Įstatymo 85 straipsnio 2 dalis</w:t>
            </w:r>
            <w:r>
              <w:rPr>
                <w:rStyle w:val="FootnoteReference"/>
                <w:bCs/>
              </w:rPr>
              <w:footnoteReference w:id="34"/>
            </w:r>
          </w:p>
        </w:tc>
      </w:tr>
      <w:tr w:rsidR="003E6518" w:rsidRPr="008B62D7" w14:paraId="22DF83C1" w14:textId="77777777" w:rsidTr="000124BB">
        <w:tc>
          <w:tcPr>
            <w:tcW w:w="9836" w:type="dxa"/>
            <w:gridSpan w:val="2"/>
            <w:shd w:val="clear" w:color="auto" w:fill="auto"/>
            <w:vAlign w:val="center"/>
          </w:tcPr>
          <w:p w14:paraId="0B2844AE" w14:textId="77777777" w:rsidR="003E6518" w:rsidRPr="008B62D7" w:rsidRDefault="003E6518" w:rsidP="00C7523F">
            <w:pPr>
              <w:pStyle w:val="Normal12pt"/>
              <w:tabs>
                <w:tab w:val="clear" w:pos="737"/>
                <w:tab w:val="left" w:pos="993"/>
              </w:tabs>
              <w:ind w:right="0" w:firstLine="567"/>
              <w:rPr>
                <w:rFonts w:eastAsia="Calibri"/>
                <w:bCs/>
              </w:rPr>
            </w:pPr>
            <w:r w:rsidRPr="008B62D7">
              <w:rPr>
                <w:bCs/>
              </w:rPr>
              <w:t>Pirkimo sąlygų 2.3 punkt</w:t>
            </w:r>
            <w:r>
              <w:rPr>
                <w:bCs/>
              </w:rPr>
              <w:t>e</w:t>
            </w:r>
            <w:r w:rsidRPr="008B62D7">
              <w:rPr>
                <w:bCs/>
              </w:rPr>
              <w:t xml:space="preserve"> nustat</w:t>
            </w:r>
            <w:r>
              <w:rPr>
                <w:bCs/>
              </w:rPr>
              <w:t>yta</w:t>
            </w:r>
            <w:r w:rsidRPr="008B62D7">
              <w:rPr>
                <w:bCs/>
              </w:rPr>
              <w:t xml:space="preserve">, kad „Perkančioji organizacija pasilieka teisę VPĮ nustatyta tvarka (VPĮ </w:t>
            </w:r>
            <w:r w:rsidRPr="00123286">
              <w:rPr>
                <w:bCs/>
                <w:u w:val="single"/>
              </w:rPr>
              <w:t>92 str. 2 d.</w:t>
            </w:r>
            <w:r w:rsidRPr="008B62D7">
              <w:rPr>
                <w:bCs/>
              </w:rPr>
              <w:t xml:space="preserve"> išvardintais atvejais.) vykdyti papildomų, Pirkimo sutartyje nenumatytų Darbų pirkimą apie jį neskelbiant. Galimybė pirkti papildomai nurodyta ir šio pirkimo skelbime“, neatitinka Skelbimo apie Pirkimą V.2 punkt</w:t>
            </w:r>
            <w:r>
              <w:rPr>
                <w:bCs/>
              </w:rPr>
              <w:t>o</w:t>
            </w:r>
            <w:r w:rsidRPr="008B62D7">
              <w:rPr>
                <w:bCs/>
              </w:rPr>
              <w:t xml:space="preserve"> „Papildoma informacija“ nuostat</w:t>
            </w:r>
            <w:r>
              <w:rPr>
                <w:bCs/>
              </w:rPr>
              <w:t>ų</w:t>
            </w:r>
            <w:r w:rsidRPr="008B62D7">
              <w:rPr>
                <w:bCs/>
              </w:rPr>
              <w:t>, kad „PO pasilieka teisę VPĮ nustatyta tvarka (</w:t>
            </w:r>
            <w:r w:rsidRPr="00123286">
              <w:rPr>
                <w:bCs/>
                <w:u w:val="single"/>
              </w:rPr>
              <w:t>VPĮ 92 str. 7 d. 2 p</w:t>
            </w:r>
            <w:r w:rsidRPr="008B62D7">
              <w:rPr>
                <w:bCs/>
              </w:rPr>
              <w:t xml:space="preserve">.) vykdyti papildomų, </w:t>
            </w:r>
            <w:r>
              <w:rPr>
                <w:bCs/>
              </w:rPr>
              <w:t>p</w:t>
            </w:r>
            <w:r w:rsidRPr="008B62D7">
              <w:rPr>
                <w:bCs/>
              </w:rPr>
              <w:t>irkimo sutartyje nenumatytų darbų pirkimą, apie jį neskelbiant, perkant iš esamo tiekėjo naujus darbus, tokius, kokie buvo pirkti pagal tą pačią sutartį &lt;...&gt;“</w:t>
            </w:r>
            <w:r>
              <w:rPr>
                <w:bCs/>
              </w:rPr>
              <w:t>, Tarnyba pažymi, kad Skelbime apie Pirkimą esančios informacijos Perkančioji organizacija Pirkimo sąlygose gali papildomai neteikti, tačiau jeigu nusprendžia ją nurodyti, ji turi būti tokia pati, ir neklaidinti tiekėjų.</w:t>
            </w:r>
          </w:p>
        </w:tc>
      </w:tr>
      <w:tr w:rsidR="00676BE7" w:rsidRPr="008B62D7" w14:paraId="0A8609BA" w14:textId="77777777" w:rsidTr="00C7523F">
        <w:tc>
          <w:tcPr>
            <w:tcW w:w="675" w:type="dxa"/>
            <w:shd w:val="clear" w:color="auto" w:fill="auto"/>
            <w:vAlign w:val="center"/>
          </w:tcPr>
          <w:p w14:paraId="73CE53F5" w14:textId="77777777" w:rsidR="00676BE7" w:rsidRPr="008B62D7" w:rsidRDefault="00676BE7"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4D77DDD5" w14:textId="77777777" w:rsidR="00676BE7" w:rsidRPr="008B62D7" w:rsidDel="00662773" w:rsidRDefault="00852ED5" w:rsidP="00655318">
            <w:pPr>
              <w:pStyle w:val="Normal12pt"/>
              <w:tabs>
                <w:tab w:val="clear" w:pos="737"/>
                <w:tab w:val="left" w:pos="993"/>
              </w:tabs>
              <w:ind w:right="0"/>
              <w:rPr>
                <w:lang w:eastAsia="lt-LT"/>
              </w:rPr>
            </w:pPr>
            <w:r>
              <w:rPr>
                <w:lang w:eastAsia="lt-LT"/>
              </w:rPr>
              <w:t>-</w:t>
            </w:r>
          </w:p>
        </w:tc>
      </w:tr>
      <w:tr w:rsidR="004114E9" w:rsidRPr="008B62D7" w14:paraId="6CDC3D66" w14:textId="77777777" w:rsidTr="00C7523F">
        <w:tc>
          <w:tcPr>
            <w:tcW w:w="9836" w:type="dxa"/>
            <w:gridSpan w:val="2"/>
            <w:shd w:val="clear" w:color="auto" w:fill="auto"/>
            <w:vAlign w:val="center"/>
          </w:tcPr>
          <w:p w14:paraId="532FD3C6" w14:textId="77777777" w:rsidR="004114E9" w:rsidRPr="008B62D7" w:rsidRDefault="00C310CA" w:rsidP="00685B24">
            <w:pPr>
              <w:shd w:val="clear" w:color="auto" w:fill="FFFFFF"/>
              <w:spacing w:after="0" w:line="240" w:lineRule="auto"/>
              <w:ind w:firstLine="567"/>
              <w:jc w:val="both"/>
              <w:rPr>
                <w:rFonts w:ascii="Times New Roman" w:hAnsi="Times New Roman"/>
                <w:bCs/>
                <w:color w:val="00B0F0"/>
                <w:sz w:val="24"/>
                <w:szCs w:val="24"/>
              </w:rPr>
            </w:pPr>
            <w:r w:rsidRPr="008B62D7">
              <w:rPr>
                <w:rFonts w:ascii="Times New Roman" w:hAnsi="Times New Roman"/>
                <w:bCs/>
                <w:sz w:val="24"/>
                <w:szCs w:val="24"/>
              </w:rPr>
              <w:t>Pirkimo sąlygų 2.5 ir 5.12</w:t>
            </w:r>
            <w:r w:rsidR="00C16882" w:rsidRPr="008B62D7">
              <w:rPr>
                <w:rFonts w:ascii="Times New Roman" w:hAnsi="Times New Roman"/>
                <w:bCs/>
                <w:sz w:val="24"/>
                <w:szCs w:val="24"/>
              </w:rPr>
              <w:t xml:space="preserve"> punktų</w:t>
            </w:r>
            <w:r w:rsidR="003A4327" w:rsidRPr="008B62D7">
              <w:rPr>
                <w:rFonts w:ascii="Times New Roman" w:hAnsi="Times New Roman"/>
                <w:bCs/>
                <w:sz w:val="24"/>
                <w:szCs w:val="24"/>
              </w:rPr>
              <w:t xml:space="preserve">, </w:t>
            </w:r>
            <w:r w:rsidR="00F74A8E" w:rsidRPr="008B62D7">
              <w:rPr>
                <w:rFonts w:ascii="Times New Roman" w:hAnsi="Times New Roman"/>
                <w:bCs/>
                <w:sz w:val="24"/>
                <w:szCs w:val="24"/>
              </w:rPr>
              <w:t xml:space="preserve">Pirkimo sąlygų Priedo Nr. </w:t>
            </w:r>
            <w:r w:rsidR="003A4327" w:rsidRPr="008B62D7">
              <w:rPr>
                <w:rFonts w:ascii="Times New Roman" w:hAnsi="Times New Roman"/>
                <w:bCs/>
                <w:sz w:val="24"/>
                <w:szCs w:val="24"/>
              </w:rPr>
              <w:t>8.1</w:t>
            </w:r>
            <w:r w:rsidRPr="008B62D7">
              <w:rPr>
                <w:rFonts w:ascii="Times New Roman" w:hAnsi="Times New Roman"/>
                <w:bCs/>
                <w:sz w:val="24"/>
                <w:szCs w:val="24"/>
              </w:rPr>
              <w:t xml:space="preserve"> </w:t>
            </w:r>
            <w:r w:rsidR="00F74A8E" w:rsidRPr="008B62D7">
              <w:rPr>
                <w:rFonts w:ascii="Times New Roman" w:hAnsi="Times New Roman"/>
                <w:bCs/>
                <w:sz w:val="24"/>
                <w:szCs w:val="24"/>
              </w:rPr>
              <w:t>5.9 punkto a) papun</w:t>
            </w:r>
            <w:r w:rsidR="00C16882" w:rsidRPr="008B62D7">
              <w:rPr>
                <w:rFonts w:ascii="Times New Roman" w:hAnsi="Times New Roman"/>
                <w:bCs/>
                <w:sz w:val="24"/>
                <w:szCs w:val="24"/>
              </w:rPr>
              <w:t xml:space="preserve">kčio </w:t>
            </w:r>
            <w:r w:rsidR="00C143CE">
              <w:rPr>
                <w:rFonts w:ascii="Times New Roman" w:hAnsi="Times New Roman"/>
                <w:bCs/>
                <w:sz w:val="24"/>
                <w:szCs w:val="24"/>
              </w:rPr>
              <w:t>reikalavimai</w:t>
            </w:r>
            <w:r w:rsidRPr="008B62D7">
              <w:rPr>
                <w:rFonts w:ascii="Times New Roman" w:hAnsi="Times New Roman"/>
                <w:bCs/>
                <w:sz w:val="24"/>
                <w:szCs w:val="24"/>
              </w:rPr>
              <w:t xml:space="preserve">, kad </w:t>
            </w:r>
            <w:bookmarkStart w:id="4" w:name="_Ref461480873"/>
            <w:r w:rsidRPr="008B62D7">
              <w:rPr>
                <w:rFonts w:ascii="Times New Roman" w:hAnsi="Times New Roman"/>
                <w:sz w:val="24"/>
                <w:szCs w:val="24"/>
              </w:rPr>
              <w:t>jeigu Pirkimo sutarčiai vykdyti bus pasitelkiami subrangovai</w:t>
            </w:r>
            <w:r w:rsidRPr="008B62D7">
              <w:rPr>
                <w:rFonts w:ascii="Times New Roman" w:hAnsi="Times New Roman"/>
                <w:sz w:val="24"/>
                <w:szCs w:val="24"/>
                <w:u w:val="single"/>
              </w:rPr>
              <w:t xml:space="preserve">, tiekėjas pats (savo jėgomis) privalės atlikti kelio dangos konstrukcijos sluoksnių įrengimo </w:t>
            </w:r>
            <w:bookmarkEnd w:id="4"/>
            <w:r w:rsidRPr="008B62D7">
              <w:rPr>
                <w:rFonts w:ascii="Times New Roman" w:hAnsi="Times New Roman"/>
                <w:sz w:val="24"/>
                <w:szCs w:val="24"/>
                <w:u w:val="single"/>
              </w:rPr>
              <w:t>darbus</w:t>
            </w:r>
            <w:r w:rsidR="00C16882" w:rsidRPr="008B62D7">
              <w:rPr>
                <w:rFonts w:ascii="Times New Roman" w:hAnsi="Times New Roman"/>
                <w:sz w:val="24"/>
                <w:szCs w:val="24"/>
                <w:u w:val="single"/>
              </w:rPr>
              <w:t>, nustatyti vadovaujantis Įstatymo</w:t>
            </w:r>
            <w:r w:rsidR="00C16882" w:rsidRPr="008B62D7">
              <w:rPr>
                <w:rFonts w:ascii="Times New Roman" w:hAnsi="Times New Roman"/>
                <w:sz w:val="24"/>
                <w:szCs w:val="24"/>
                <w:lang w:eastAsia="lt-LT"/>
              </w:rPr>
              <w:t xml:space="preserve"> 24 straipsnio 5 dalies reikalavimais yra nesuderinami su Europos Sąjungos teise, minėtos nuostatos dėl subrangos ribojimo </w:t>
            </w:r>
            <w:r w:rsidR="008959DF">
              <w:rPr>
                <w:rFonts w:ascii="Times New Roman" w:hAnsi="Times New Roman"/>
                <w:sz w:val="24"/>
                <w:szCs w:val="24"/>
                <w:lang w:eastAsia="lt-LT"/>
              </w:rPr>
              <w:t>P</w:t>
            </w:r>
            <w:r w:rsidR="008959DF" w:rsidRPr="008B62D7">
              <w:rPr>
                <w:rFonts w:ascii="Times New Roman" w:hAnsi="Times New Roman"/>
                <w:sz w:val="24"/>
                <w:szCs w:val="24"/>
                <w:lang w:eastAsia="lt-LT"/>
              </w:rPr>
              <w:t xml:space="preserve">erkančioji </w:t>
            </w:r>
            <w:r w:rsidR="00C16882" w:rsidRPr="008B62D7">
              <w:rPr>
                <w:rFonts w:ascii="Times New Roman" w:hAnsi="Times New Roman"/>
                <w:sz w:val="24"/>
                <w:szCs w:val="24"/>
                <w:lang w:eastAsia="lt-LT"/>
              </w:rPr>
              <w:t xml:space="preserve">organizacija negalėtų pateisinti  remiantis tuo, kad galiojančiame įstatyme yra nustatyta pareiga reikalauti, kad </w:t>
            </w:r>
            <w:r w:rsidR="008959DF">
              <w:rPr>
                <w:rFonts w:ascii="Times New Roman" w:hAnsi="Times New Roman"/>
                <w:sz w:val="24"/>
                <w:szCs w:val="24"/>
                <w:lang w:eastAsia="lt-LT"/>
              </w:rPr>
              <w:t>P</w:t>
            </w:r>
            <w:r w:rsidR="008959DF" w:rsidRPr="008B62D7">
              <w:rPr>
                <w:rFonts w:ascii="Times New Roman" w:hAnsi="Times New Roman"/>
                <w:sz w:val="24"/>
                <w:szCs w:val="24"/>
                <w:lang w:eastAsia="lt-LT"/>
              </w:rPr>
              <w:t xml:space="preserve">erkančiosios </w:t>
            </w:r>
            <w:r w:rsidR="00C16882" w:rsidRPr="008B62D7">
              <w:rPr>
                <w:rFonts w:ascii="Times New Roman" w:hAnsi="Times New Roman"/>
                <w:sz w:val="24"/>
                <w:szCs w:val="24"/>
                <w:lang w:eastAsia="lt-LT"/>
              </w:rPr>
              <w:t xml:space="preserve">organizacijos nustatytus pagrindinius darbus atliktų </w:t>
            </w:r>
            <w:r w:rsidR="00C16882" w:rsidRPr="00655318">
              <w:rPr>
                <w:rFonts w:ascii="Times New Roman" w:hAnsi="Times New Roman"/>
                <w:sz w:val="24"/>
                <w:szCs w:val="24"/>
                <w:lang w:eastAsia="lt-LT"/>
              </w:rPr>
              <w:t>tiekėjas. Perk</w:t>
            </w:r>
            <w:r w:rsidR="00C70BE2">
              <w:rPr>
                <w:rFonts w:ascii="Times New Roman" w:hAnsi="Times New Roman"/>
                <w:sz w:val="24"/>
                <w:szCs w:val="24"/>
                <w:lang w:eastAsia="lt-LT"/>
              </w:rPr>
              <w:t>ančio</w:t>
            </w:r>
            <w:r w:rsidR="00685B24">
              <w:rPr>
                <w:rFonts w:ascii="Times New Roman" w:hAnsi="Times New Roman"/>
                <w:sz w:val="24"/>
                <w:szCs w:val="24"/>
                <w:lang w:eastAsia="lt-LT"/>
              </w:rPr>
              <w:t>ji</w:t>
            </w:r>
            <w:r w:rsidR="00C70BE2">
              <w:rPr>
                <w:rFonts w:ascii="Times New Roman" w:hAnsi="Times New Roman"/>
                <w:sz w:val="24"/>
                <w:szCs w:val="24"/>
                <w:lang w:eastAsia="lt-LT"/>
              </w:rPr>
              <w:t xml:space="preserve"> organizacij</w:t>
            </w:r>
            <w:r w:rsidR="00685B24">
              <w:rPr>
                <w:rFonts w:ascii="Times New Roman" w:hAnsi="Times New Roman"/>
                <w:sz w:val="24"/>
                <w:szCs w:val="24"/>
                <w:lang w:eastAsia="lt-LT"/>
              </w:rPr>
              <w:t>a ateityje rengdama pirkimų dokumentus</w:t>
            </w:r>
            <w:r w:rsidR="00C70BE2">
              <w:rPr>
                <w:rFonts w:ascii="Times New Roman" w:hAnsi="Times New Roman"/>
                <w:sz w:val="24"/>
                <w:szCs w:val="24"/>
                <w:lang w:eastAsia="lt-LT"/>
              </w:rPr>
              <w:t xml:space="preserve"> turėtų atsižvelgti</w:t>
            </w:r>
            <w:r w:rsidR="00C16882" w:rsidRPr="00655318">
              <w:rPr>
                <w:rFonts w:ascii="Times New Roman" w:hAnsi="Times New Roman"/>
                <w:sz w:val="24"/>
                <w:szCs w:val="24"/>
                <w:lang w:eastAsia="lt-LT"/>
              </w:rPr>
              <w:t xml:space="preserve"> į Teisingumo Teismo sprendimą byloje </w:t>
            </w:r>
            <w:r w:rsidR="00C16882" w:rsidRPr="00655318">
              <w:rPr>
                <w:rFonts w:ascii="Times New Roman" w:hAnsi="Times New Roman"/>
                <w:i/>
                <w:iCs/>
                <w:sz w:val="24"/>
                <w:szCs w:val="24"/>
                <w:lang w:eastAsia="lt-LT"/>
              </w:rPr>
              <w:t>Borta,</w:t>
            </w:r>
            <w:r w:rsidR="00C16882" w:rsidRPr="00655318">
              <w:rPr>
                <w:rFonts w:ascii="Times New Roman" w:hAnsi="Times New Roman"/>
                <w:sz w:val="24"/>
                <w:szCs w:val="24"/>
                <w:lang w:eastAsia="lt-LT"/>
              </w:rPr>
              <w:t> C-298/15</w:t>
            </w:r>
            <w:r w:rsidR="00C70BE2">
              <w:rPr>
                <w:rFonts w:ascii="Times New Roman" w:hAnsi="Times New Roman"/>
                <w:sz w:val="24"/>
                <w:szCs w:val="24"/>
                <w:lang w:eastAsia="lt-LT"/>
              </w:rPr>
              <w:t xml:space="preserve"> (50 ir 51 punktai)</w:t>
            </w:r>
            <w:r w:rsidR="00655318" w:rsidRPr="00655318">
              <w:rPr>
                <w:rFonts w:ascii="Times New Roman" w:hAnsi="Times New Roman"/>
                <w:sz w:val="24"/>
                <w:szCs w:val="24"/>
                <w:lang w:eastAsia="lt-LT"/>
              </w:rPr>
              <w:t xml:space="preserve"> ir </w:t>
            </w:r>
            <w:r w:rsidR="00655318" w:rsidRPr="00031BF0">
              <w:rPr>
                <w:rFonts w:ascii="Times New Roman" w:hAnsi="Times New Roman"/>
                <w:sz w:val="24"/>
                <w:szCs w:val="24"/>
                <w:shd w:val="clear" w:color="auto" w:fill="FFFFFF"/>
              </w:rPr>
              <w:t xml:space="preserve">Lietuvos Aukščiausiojo Teismo 2017 m. birželio 22 d. sprendimą civilinėje byloje </w:t>
            </w:r>
            <w:r w:rsidR="00655318">
              <w:rPr>
                <w:rFonts w:ascii="Times New Roman" w:hAnsi="Times New Roman"/>
                <w:sz w:val="24"/>
                <w:szCs w:val="24"/>
                <w:shd w:val="clear" w:color="auto" w:fill="FFFFFF"/>
              </w:rPr>
              <w:t xml:space="preserve">Nr. </w:t>
            </w:r>
            <w:r w:rsidR="00655318" w:rsidRPr="00031BF0">
              <w:rPr>
                <w:rFonts w:ascii="Times New Roman" w:hAnsi="Times New Roman"/>
                <w:sz w:val="24"/>
                <w:szCs w:val="24"/>
                <w:shd w:val="clear" w:color="auto" w:fill="FFFFFF"/>
              </w:rPr>
              <w:t>e3K-3-279-690/2017,</w:t>
            </w:r>
            <w:r w:rsidR="00C16882" w:rsidRPr="00655318">
              <w:rPr>
                <w:rFonts w:ascii="Times New Roman" w:hAnsi="Times New Roman"/>
                <w:sz w:val="24"/>
                <w:szCs w:val="24"/>
                <w:lang w:eastAsia="lt-LT"/>
              </w:rPr>
              <w:t xml:space="preserve"> </w:t>
            </w:r>
            <w:r w:rsidR="00C70BE2">
              <w:rPr>
                <w:rFonts w:ascii="Times New Roman" w:hAnsi="Times New Roman"/>
                <w:sz w:val="24"/>
                <w:szCs w:val="24"/>
                <w:lang w:eastAsia="lt-LT"/>
              </w:rPr>
              <w:t>kad</w:t>
            </w:r>
            <w:r w:rsidR="00C16882" w:rsidRPr="008B62D7">
              <w:rPr>
                <w:rFonts w:ascii="Times New Roman" w:hAnsi="Times New Roman"/>
                <w:sz w:val="24"/>
                <w:szCs w:val="24"/>
                <w:lang w:eastAsia="lt-LT"/>
              </w:rPr>
              <w:t xml:space="preserve"> Įstatymo 24 straipsnio 5 dalimi yra ribojama įsisteigimo laisvė ir laisvė teikti paslaugas, tačiau toks ribojimas gali būti pateisintas, jeigu juo siekiama teisėto tikslo ir jis atitinka proporcingumo principą, perkančioji organizacija galėtų nustatyti tokį reikalavimą, koks yra nustatytas minėtoje nacionalinėje nuostatoje, jei toks reikalavimas taip pat atitiks teisėto tikslo kriterijų ir proporcingumo principą. Tokios priemonės galimumą patvirtina tai, kad tokia nuostata yra įtraukta į Direktyvos 2014/24ES 63 straipsnio 2 dalį ir Direktyvos 2014.25/ES 79 straipsnio 3 dalį.</w:t>
            </w:r>
            <w:r w:rsidRPr="008B62D7">
              <w:rPr>
                <w:rFonts w:ascii="Times New Roman" w:hAnsi="Times New Roman"/>
                <w:bCs/>
                <w:color w:val="00B0F0"/>
                <w:sz w:val="24"/>
                <w:szCs w:val="24"/>
              </w:rPr>
              <w:t xml:space="preserve"> </w:t>
            </w:r>
          </w:p>
        </w:tc>
      </w:tr>
      <w:tr w:rsidR="004114E9" w:rsidRPr="008B62D7" w14:paraId="78009075" w14:textId="77777777" w:rsidTr="00C7523F">
        <w:tc>
          <w:tcPr>
            <w:tcW w:w="675" w:type="dxa"/>
            <w:shd w:val="clear" w:color="auto" w:fill="auto"/>
            <w:vAlign w:val="center"/>
          </w:tcPr>
          <w:p w14:paraId="582C7687" w14:textId="77777777" w:rsidR="004114E9" w:rsidRPr="008B62D7" w:rsidRDefault="004114E9"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3CCBF847" w14:textId="77777777" w:rsidR="004114E9" w:rsidRPr="008B62D7" w:rsidRDefault="00662773" w:rsidP="00CF7432">
            <w:pPr>
              <w:pStyle w:val="Normal12pt"/>
              <w:tabs>
                <w:tab w:val="clear" w:pos="737"/>
                <w:tab w:val="left" w:pos="993"/>
              </w:tabs>
              <w:ind w:right="0"/>
              <w:rPr>
                <w:bCs/>
                <w:color w:val="00B0F0"/>
              </w:rPr>
            </w:pPr>
            <w:r>
              <w:rPr>
                <w:color w:val="000000"/>
              </w:rPr>
              <w:t xml:space="preserve"> - </w:t>
            </w:r>
          </w:p>
        </w:tc>
      </w:tr>
      <w:tr w:rsidR="004114E9" w:rsidRPr="008B62D7" w14:paraId="11A618B1" w14:textId="77777777" w:rsidTr="00C7523F">
        <w:tc>
          <w:tcPr>
            <w:tcW w:w="9836" w:type="dxa"/>
            <w:gridSpan w:val="2"/>
            <w:shd w:val="clear" w:color="auto" w:fill="auto"/>
            <w:vAlign w:val="center"/>
          </w:tcPr>
          <w:p w14:paraId="48B2E272" w14:textId="77777777" w:rsidR="004114E9" w:rsidRPr="008B62D7" w:rsidRDefault="00662773" w:rsidP="00D516D3">
            <w:pPr>
              <w:pStyle w:val="Normal12pt"/>
              <w:tabs>
                <w:tab w:val="clear" w:pos="737"/>
                <w:tab w:val="left" w:pos="993"/>
              </w:tabs>
              <w:ind w:right="0" w:firstLine="567"/>
              <w:rPr>
                <w:bCs/>
                <w:color w:val="00B0F0"/>
              </w:rPr>
            </w:pPr>
            <w:r w:rsidRPr="008B62D7">
              <w:rPr>
                <w:color w:val="000000"/>
              </w:rPr>
              <w:t>Pirkimo sąlygų 12.1 punkto nuostata, kad „&lt;...&gt;</w:t>
            </w:r>
            <w:r>
              <w:rPr>
                <w:color w:val="000000"/>
              </w:rPr>
              <w:t xml:space="preserve"> </w:t>
            </w:r>
            <w:r w:rsidRPr="008B62D7">
              <w:t xml:space="preserve">Pretenzija turi būti pateikta CVP IS priemonėmis. &lt;...&gt; </w:t>
            </w:r>
            <w:r w:rsidRPr="008B62D7">
              <w:rPr>
                <w:color w:val="000000"/>
              </w:rPr>
              <w:t>“ prieštarauja tame pačiame punkte nustatytai sąlygai, kad „</w:t>
            </w:r>
            <w:r w:rsidRPr="008B62D7">
              <w:t xml:space="preserve">Tiekėjas, norėdamas </w:t>
            </w:r>
            <w:r w:rsidRPr="008B62D7">
              <w:lastRenderedPageBreak/>
              <w:t xml:space="preserve">iki Pirkimo sutarties sudarymo ginčyti Perkančiosios organizacijos sprendimus ar veiksmus, turi pateikti pretenziją Perkančiajai organizacijai VPĮ V skyriuje nustatyta tvarka. </w:t>
            </w:r>
            <w:r w:rsidRPr="008B62D7">
              <w:rPr>
                <w:rFonts w:eastAsia="Calibri"/>
                <w:color w:val="000000"/>
              </w:rPr>
              <w:t xml:space="preserve"> </w:t>
            </w:r>
            <w:r w:rsidRPr="008B62D7">
              <w:rPr>
                <w:color w:val="000000"/>
              </w:rPr>
              <w:t>&lt;...&gt;“, atsižvelgiant į tai, kad Įstatymo 93 straipsnio 3 dalyje nustatyta, kad „&lt;...&gt; Pretenzija turi būti pateikta faksu, elektroninėmis priemonėmis ar pasirašytinai per kurjerį &lt;...&gt;“.</w:t>
            </w:r>
            <w:r>
              <w:rPr>
                <w:color w:val="000000"/>
              </w:rPr>
              <w:t xml:space="preserve"> </w:t>
            </w:r>
            <w:r w:rsidR="00CF7432" w:rsidRPr="008B62D7">
              <w:rPr>
                <w:color w:val="000000"/>
              </w:rPr>
              <w:t>Perkančioji organizacija negali riboti tiekėjų teisių dėl pretenzijos pateikimo būdų ir privalo nagrinėti bei priimti motyvuotus sprendimus dėl visų gautų pretenzijų.</w:t>
            </w:r>
          </w:p>
        </w:tc>
      </w:tr>
      <w:tr w:rsidR="004114E9" w:rsidRPr="008B62D7" w14:paraId="39A1BBA4" w14:textId="77777777" w:rsidTr="00C7523F">
        <w:tc>
          <w:tcPr>
            <w:tcW w:w="675" w:type="dxa"/>
            <w:shd w:val="clear" w:color="auto" w:fill="auto"/>
            <w:vAlign w:val="center"/>
          </w:tcPr>
          <w:p w14:paraId="2C0DF9A5" w14:textId="77777777" w:rsidR="004114E9" w:rsidRPr="008B62D7" w:rsidRDefault="004114E9"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2F2F0363" w14:textId="77777777" w:rsidR="004114E9" w:rsidRPr="008B62D7" w:rsidRDefault="00662773" w:rsidP="00CF7432">
            <w:pPr>
              <w:pStyle w:val="Normal12pt"/>
              <w:tabs>
                <w:tab w:val="clear" w:pos="737"/>
                <w:tab w:val="left" w:pos="993"/>
              </w:tabs>
              <w:ind w:right="0"/>
              <w:rPr>
                <w:bCs/>
              </w:rPr>
            </w:pPr>
            <w:r>
              <w:rPr>
                <w:bCs/>
              </w:rPr>
              <w:t>-</w:t>
            </w:r>
          </w:p>
        </w:tc>
      </w:tr>
      <w:tr w:rsidR="004114E9" w:rsidRPr="008B62D7" w14:paraId="305618E9" w14:textId="77777777" w:rsidTr="00C7523F">
        <w:tc>
          <w:tcPr>
            <w:tcW w:w="9836" w:type="dxa"/>
            <w:gridSpan w:val="2"/>
            <w:shd w:val="clear" w:color="auto" w:fill="auto"/>
            <w:vAlign w:val="center"/>
          </w:tcPr>
          <w:p w14:paraId="0CA851C8" w14:textId="77777777" w:rsidR="004114E9" w:rsidRPr="008B62D7" w:rsidRDefault="008B6A41" w:rsidP="00D516D3">
            <w:pPr>
              <w:pStyle w:val="Normal12pt"/>
              <w:tabs>
                <w:tab w:val="clear" w:pos="737"/>
                <w:tab w:val="left" w:pos="993"/>
              </w:tabs>
              <w:ind w:right="0" w:firstLine="567"/>
              <w:rPr>
                <w:bCs/>
              </w:rPr>
            </w:pPr>
            <w:r w:rsidRPr="008B62D7">
              <w:rPr>
                <w:bCs/>
              </w:rPr>
              <w:t xml:space="preserve">Tarnyba rekomenduoja </w:t>
            </w:r>
            <w:r w:rsidR="00126DD8">
              <w:rPr>
                <w:bCs/>
              </w:rPr>
              <w:t>P</w:t>
            </w:r>
            <w:r w:rsidR="00126DD8" w:rsidRPr="008B62D7">
              <w:rPr>
                <w:bCs/>
              </w:rPr>
              <w:t xml:space="preserve">erkančiajai </w:t>
            </w:r>
            <w:r w:rsidRPr="008B62D7">
              <w:rPr>
                <w:bCs/>
              </w:rPr>
              <w:t>organizacijai Pirkimo dokumentuose nustatyti sąlyg</w:t>
            </w:r>
            <w:r w:rsidR="00C143CE">
              <w:rPr>
                <w:bCs/>
              </w:rPr>
              <w:t>ą</w:t>
            </w:r>
            <w:r w:rsidRPr="008B62D7">
              <w:rPr>
                <w:bCs/>
              </w:rPr>
              <w:t xml:space="preserve">, kad susipažinimo su pasiūlymų kainomis posėdis įvyks ne anksčiau kaip po 15 dienų nuo pasiūlymų techninių duomenų, tiekėjų kvalifikacijos patikrinimo ir įvertinimo rezultatų pranešimo tiekėjams, atsižvelgiant į Įstatyme įtvirtintą terminą pretenzijoms pareikšti. Tarnyba paaiškina, kad </w:t>
            </w:r>
            <w:r w:rsidR="00126DD8">
              <w:rPr>
                <w:bCs/>
              </w:rPr>
              <w:t>P</w:t>
            </w:r>
            <w:r w:rsidR="00126DD8" w:rsidRPr="008B62D7">
              <w:rPr>
                <w:bCs/>
              </w:rPr>
              <w:t xml:space="preserve">erkančioji </w:t>
            </w:r>
            <w:r w:rsidRPr="008B62D7">
              <w:rPr>
                <w:bCs/>
              </w:rPr>
              <w:t xml:space="preserve">organizacija nustatydama 15 dienų laikotarpį tarp pirmųjų ir antrųjų vokų atplėšimo, sudarytų galimybę Pirkimo dalyviams susipažinti su </w:t>
            </w:r>
            <w:r w:rsidR="00126DD8">
              <w:rPr>
                <w:bCs/>
              </w:rPr>
              <w:t>P</w:t>
            </w:r>
            <w:r w:rsidR="00126DD8" w:rsidRPr="008B62D7">
              <w:rPr>
                <w:bCs/>
              </w:rPr>
              <w:t xml:space="preserve">erkančiosios </w:t>
            </w:r>
            <w:r w:rsidRPr="008B62D7">
              <w:rPr>
                <w:bCs/>
              </w:rPr>
              <w:t>organizacijos priimtais sprendimais ir galimyb</w:t>
            </w:r>
            <w:r w:rsidR="00C143CE">
              <w:rPr>
                <w:bCs/>
              </w:rPr>
              <w:t>ę</w:t>
            </w:r>
            <w:r w:rsidRPr="008B62D7">
              <w:rPr>
                <w:bCs/>
              </w:rPr>
              <w:t xml:space="preserve"> kreiptis dėl jų peržiūrėjimo.</w:t>
            </w:r>
          </w:p>
        </w:tc>
      </w:tr>
      <w:tr w:rsidR="00C61B83" w:rsidRPr="008B62D7" w14:paraId="509F58CE" w14:textId="77777777" w:rsidTr="00C7523F">
        <w:tc>
          <w:tcPr>
            <w:tcW w:w="675" w:type="dxa"/>
            <w:shd w:val="clear" w:color="auto" w:fill="auto"/>
            <w:vAlign w:val="center"/>
          </w:tcPr>
          <w:p w14:paraId="72065F69" w14:textId="77777777" w:rsidR="00C61B83" w:rsidRPr="008B62D7" w:rsidRDefault="00C61B83"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798724E5" w14:textId="77777777" w:rsidR="00C61B83" w:rsidRPr="008B62D7" w:rsidRDefault="00D76392" w:rsidP="00BD5DD6">
            <w:pPr>
              <w:pStyle w:val="Normal12pt"/>
              <w:tabs>
                <w:tab w:val="clear" w:pos="737"/>
                <w:tab w:val="left" w:pos="993"/>
              </w:tabs>
              <w:ind w:right="0"/>
              <w:rPr>
                <w:bCs/>
                <w:color w:val="00B0F0"/>
              </w:rPr>
            </w:pPr>
            <w:r>
              <w:rPr>
                <w:bCs/>
              </w:rPr>
              <w:t>-</w:t>
            </w:r>
          </w:p>
        </w:tc>
      </w:tr>
      <w:tr w:rsidR="00C61B83" w:rsidRPr="008B62D7" w14:paraId="11FF1C6B" w14:textId="77777777" w:rsidTr="00C7523F">
        <w:tc>
          <w:tcPr>
            <w:tcW w:w="9836" w:type="dxa"/>
            <w:gridSpan w:val="2"/>
            <w:shd w:val="clear" w:color="auto" w:fill="auto"/>
            <w:vAlign w:val="center"/>
          </w:tcPr>
          <w:p w14:paraId="0C1EBB2B" w14:textId="77777777" w:rsidR="00C61B83" w:rsidRPr="008B62D7" w:rsidRDefault="002E1FE6" w:rsidP="00D516D3">
            <w:pPr>
              <w:pStyle w:val="ListParagraph"/>
              <w:shd w:val="clear" w:color="auto" w:fill="FFFFFF"/>
              <w:spacing w:after="0" w:line="240" w:lineRule="auto"/>
              <w:ind w:left="0" w:firstLine="567"/>
              <w:jc w:val="both"/>
              <w:rPr>
                <w:rFonts w:ascii="Times New Roman" w:hAnsi="Times New Roman"/>
                <w:bCs/>
                <w:sz w:val="24"/>
                <w:szCs w:val="24"/>
              </w:rPr>
            </w:pPr>
            <w:r w:rsidRPr="008B62D7">
              <w:rPr>
                <w:rFonts w:ascii="Times New Roman" w:hAnsi="Times New Roman"/>
                <w:bCs/>
                <w:sz w:val="24"/>
                <w:szCs w:val="24"/>
              </w:rPr>
              <w:t>Pirkimo sąlygose nėra nuostatų apie pasiūlymų šifravimo tvarką.</w:t>
            </w:r>
            <w:r w:rsidRPr="008B62D7">
              <w:rPr>
                <w:rFonts w:ascii="Times New Roman" w:eastAsia="Times New Roman" w:hAnsi="Times New Roman"/>
                <w:spacing w:val="2"/>
                <w:sz w:val="24"/>
                <w:szCs w:val="24"/>
                <w:lang w:eastAsia="lt-LT"/>
              </w:rPr>
              <w:t xml:space="preserve"> Atkreipiame dėmesį į tai, kad pasiūlymų šifravimo tvarka yra patvirtinta Tarnybos direktoriaus 2016-05-02 įsakymu Nr. 1S-58 „</w:t>
            </w:r>
            <w:hyperlink r:id="rId9" w:history="1">
              <w:r w:rsidRPr="008B62D7">
                <w:rPr>
                  <w:rFonts w:ascii="Times New Roman" w:eastAsia="Times New Roman" w:hAnsi="Times New Roman"/>
                  <w:bCs/>
                  <w:spacing w:val="3"/>
                  <w:sz w:val="24"/>
                  <w:szCs w:val="24"/>
                  <w:lang w:eastAsia="lt-LT"/>
                </w:rPr>
                <w:t>Naudojimosi Centrine viešųjų pirkimų informacine sistema taisyklės</w:t>
              </w:r>
            </w:hyperlink>
            <w:r w:rsidRPr="008B62D7">
              <w:rPr>
                <w:rFonts w:ascii="Times New Roman" w:eastAsia="Times New Roman" w:hAnsi="Times New Roman"/>
                <w:spacing w:val="2"/>
                <w:sz w:val="24"/>
                <w:szCs w:val="24"/>
                <w:lang w:eastAsia="lt-LT"/>
              </w:rPr>
              <w:t>“</w:t>
            </w:r>
            <w:r w:rsidR="00D76392">
              <w:rPr>
                <w:rFonts w:ascii="Times New Roman" w:eastAsia="Times New Roman" w:hAnsi="Times New Roman"/>
                <w:spacing w:val="2"/>
                <w:sz w:val="24"/>
                <w:szCs w:val="24"/>
                <w:lang w:eastAsia="lt-LT"/>
              </w:rPr>
              <w:t>. Pažymėtina, kad Tarnyba 2016-05-24 viešai paskelbė Informacinį pranešimą apie perkančiosioms organizacijoms vykdant elektroninį pirkimą kylančią pareigą konkurso sąlygose numatyti galimybę tiekėjams užšifruoti savo pasiūlymą</w:t>
            </w:r>
            <w:r w:rsidRPr="008B62D7">
              <w:rPr>
                <w:rFonts w:ascii="Times New Roman" w:eastAsia="Times New Roman" w:hAnsi="Times New Roman"/>
                <w:spacing w:val="2"/>
                <w:sz w:val="24"/>
                <w:szCs w:val="24"/>
                <w:lang w:eastAsia="lt-LT"/>
              </w:rPr>
              <w:t xml:space="preserve">. Pasiūlymų šifravimo taisyklės taikomos viešiesiems pirkimams, viešiesiems pirkimams, atliekamiems gynybos ir saugumo srityje ir energijos ar kuro, kurių reikia elektros ir šilumos energijai gaminti, pirkimams, </w:t>
            </w:r>
            <w:r w:rsidRPr="008B62D7">
              <w:rPr>
                <w:rFonts w:ascii="Times New Roman" w:eastAsia="Times New Roman" w:hAnsi="Times New Roman"/>
                <w:bCs/>
                <w:spacing w:val="2"/>
                <w:sz w:val="24"/>
                <w:szCs w:val="24"/>
                <w:lang w:eastAsia="lt-LT"/>
              </w:rPr>
              <w:t>pradėtiems vykdyti nuo 2016 m. gegužės 24 d.</w:t>
            </w:r>
          </w:p>
        </w:tc>
      </w:tr>
      <w:tr w:rsidR="007C7A86" w:rsidRPr="008B62D7" w14:paraId="228DEE9A" w14:textId="77777777" w:rsidTr="00C7523F">
        <w:tc>
          <w:tcPr>
            <w:tcW w:w="675" w:type="dxa"/>
            <w:shd w:val="clear" w:color="auto" w:fill="auto"/>
            <w:vAlign w:val="center"/>
          </w:tcPr>
          <w:p w14:paraId="02F1E667" w14:textId="77777777" w:rsidR="007C7A86" w:rsidRPr="008B62D7" w:rsidRDefault="007C7A86"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1520B35F" w14:textId="77777777" w:rsidR="007C7A86" w:rsidRPr="008B62D7" w:rsidRDefault="00310BF2" w:rsidP="00BD5DD6">
            <w:pPr>
              <w:pStyle w:val="Normal12pt"/>
              <w:tabs>
                <w:tab w:val="clear" w:pos="737"/>
                <w:tab w:val="left" w:pos="993"/>
              </w:tabs>
              <w:ind w:right="0"/>
              <w:rPr>
                <w:bCs/>
              </w:rPr>
            </w:pPr>
            <w:r w:rsidRPr="008B62D7">
              <w:t>Taisyklių 22.9 punktas</w:t>
            </w:r>
            <w:r w:rsidRPr="008B62D7">
              <w:rPr>
                <w:rStyle w:val="FootnoteReference"/>
              </w:rPr>
              <w:footnoteReference w:id="35"/>
            </w:r>
            <w:r w:rsidRPr="008B62D7">
              <w:t>, Įstatymo 32 straipsnio 1 dalis</w:t>
            </w:r>
            <w:r w:rsidRPr="008B62D7">
              <w:rPr>
                <w:rStyle w:val="FootnoteReference"/>
              </w:rPr>
              <w:footnoteReference w:id="36"/>
            </w:r>
            <w:r w:rsidRPr="008B62D7">
              <w:t>, 85 straipsnio 2 dalis</w:t>
            </w:r>
            <w:r w:rsidRPr="008B62D7">
              <w:rPr>
                <w:rStyle w:val="FootnoteReference"/>
              </w:rPr>
              <w:footnoteReference w:id="37"/>
            </w:r>
            <w:r w:rsidRPr="008B62D7">
              <w:t xml:space="preserve"> ir 87 straipsnio 1 dalis</w:t>
            </w:r>
            <w:r w:rsidRPr="008B62D7">
              <w:rPr>
                <w:rStyle w:val="FootnoteReference"/>
              </w:rPr>
              <w:footnoteReference w:id="38"/>
            </w:r>
          </w:p>
        </w:tc>
      </w:tr>
      <w:tr w:rsidR="007C7A86" w:rsidRPr="008B62D7" w14:paraId="430B6710" w14:textId="77777777" w:rsidTr="00C7523F">
        <w:tc>
          <w:tcPr>
            <w:tcW w:w="9836" w:type="dxa"/>
            <w:gridSpan w:val="2"/>
            <w:shd w:val="clear" w:color="auto" w:fill="auto"/>
            <w:vAlign w:val="center"/>
          </w:tcPr>
          <w:p w14:paraId="3A073F12" w14:textId="77777777" w:rsidR="007C7A86" w:rsidRPr="008B62D7" w:rsidRDefault="00310BF2" w:rsidP="00D516D3">
            <w:pPr>
              <w:pStyle w:val="Normal12pt"/>
              <w:tabs>
                <w:tab w:val="clear" w:pos="737"/>
                <w:tab w:val="left" w:pos="993"/>
              </w:tabs>
              <w:ind w:right="0" w:firstLine="567"/>
              <w:rPr>
                <w:bCs/>
              </w:rPr>
            </w:pPr>
            <w:r w:rsidRPr="008B62D7">
              <w:t>Atsižvelgiant į tai, kad Pirkimo sąlygų priedo Nr. 8.1 punktuose Nr.: 1.1</w:t>
            </w:r>
            <w:r w:rsidRPr="008B62D7">
              <w:rPr>
                <w:rStyle w:val="FootnoteReference"/>
              </w:rPr>
              <w:footnoteReference w:id="39"/>
            </w:r>
            <w:r w:rsidRPr="008B62D7">
              <w:t>, 2.1</w:t>
            </w:r>
            <w:r w:rsidRPr="008B62D7">
              <w:rPr>
                <w:rStyle w:val="FootnoteReference"/>
              </w:rPr>
              <w:footnoteReference w:id="40"/>
            </w:r>
            <w:r w:rsidRPr="008B62D7">
              <w:t>, 5.1</w:t>
            </w:r>
            <w:r w:rsidRPr="008B62D7">
              <w:rPr>
                <w:rStyle w:val="FootnoteReference"/>
              </w:rPr>
              <w:footnoteReference w:id="41"/>
            </w:r>
            <w:r w:rsidRPr="008B62D7">
              <w:t>, 5.4</w:t>
            </w:r>
            <w:r w:rsidRPr="008B62D7">
              <w:rPr>
                <w:rStyle w:val="FootnoteReference"/>
              </w:rPr>
              <w:footnoteReference w:id="42"/>
            </w:r>
            <w:r w:rsidRPr="008B62D7">
              <w:t>, 5.20</w:t>
            </w:r>
            <w:r w:rsidRPr="008B62D7">
              <w:rPr>
                <w:rStyle w:val="FootnoteReference"/>
              </w:rPr>
              <w:footnoteReference w:id="43"/>
            </w:r>
            <w:r w:rsidRPr="008B62D7">
              <w:t xml:space="preserve"> ir Priedo Nr. 8.2</w:t>
            </w:r>
            <w:r w:rsidRPr="008B62D7">
              <w:rPr>
                <w:color w:val="000000"/>
              </w:rPr>
              <w:t xml:space="preserve"> punktuose Nr.: 1</w:t>
            </w:r>
            <w:r w:rsidRPr="008B62D7">
              <w:rPr>
                <w:rStyle w:val="FootnoteReference"/>
                <w:color w:val="000000"/>
              </w:rPr>
              <w:footnoteReference w:id="44"/>
            </w:r>
            <w:r w:rsidRPr="008B62D7">
              <w:rPr>
                <w:color w:val="000000"/>
              </w:rPr>
              <w:t>, 23.1</w:t>
            </w:r>
            <w:r w:rsidRPr="008B62D7">
              <w:rPr>
                <w:rStyle w:val="FootnoteReference"/>
                <w:color w:val="000000"/>
              </w:rPr>
              <w:footnoteReference w:id="45"/>
            </w:r>
            <w:r w:rsidRPr="008B62D7">
              <w:rPr>
                <w:color w:val="000000"/>
              </w:rPr>
              <w:t xml:space="preserve"> nustatyti reikalavimai dėl darbų </w:t>
            </w:r>
            <w:r>
              <w:rPr>
                <w:color w:val="000000"/>
              </w:rPr>
              <w:t>projekt</w:t>
            </w:r>
            <w:r w:rsidRPr="008B62D7">
              <w:rPr>
                <w:color w:val="000000"/>
              </w:rPr>
              <w:t xml:space="preserve">inės dokumentacijos parengimo bei reikalavimai </w:t>
            </w:r>
            <w:r w:rsidRPr="008B62D7">
              <w:t xml:space="preserve">pateikti statinio projektuotojo civilinės atsakomybės privalomąjį draudimą, </w:t>
            </w:r>
            <w:r>
              <w:t xml:space="preserve">t. y. reikalavimai susiję su projektavimo paslaugomis, kurias turi teisę atlikti tik atitinkamus atestatus turintys tiekėjai (specialistai), </w:t>
            </w:r>
            <w:r w:rsidRPr="008B62D7">
              <w:t xml:space="preserve">tačiau </w:t>
            </w:r>
            <w:r>
              <w:t xml:space="preserve">Perkančioji organizacija </w:t>
            </w:r>
            <w:r w:rsidRPr="008B62D7">
              <w:t xml:space="preserve">nei Skelbime </w:t>
            </w:r>
            <w:r w:rsidRPr="008B62D7">
              <w:lastRenderedPageBreak/>
              <w:t>apie Pirkimą nei kitose Pirkimo sąlygose n</w:t>
            </w:r>
            <w:r>
              <w:t>e</w:t>
            </w:r>
            <w:r w:rsidRPr="008B62D7">
              <w:t>nurod</w:t>
            </w:r>
            <w:r>
              <w:t>ė</w:t>
            </w:r>
            <w:r w:rsidRPr="008B62D7">
              <w:t xml:space="preserve"> kvalifikacijos reikalavim</w:t>
            </w:r>
            <w:r>
              <w:t>ų</w:t>
            </w:r>
            <w:r w:rsidRPr="008B62D7">
              <w:t xml:space="preserve"> šias paslaugas teikiantiems </w:t>
            </w:r>
            <w:r>
              <w:t xml:space="preserve">tiekėjams (specialistams), tai neužtikrina </w:t>
            </w:r>
            <w:r w:rsidRPr="008B62D7">
              <w:t>Įstatymo 32 straipsnio 1 dalies</w:t>
            </w:r>
            <w:r>
              <w:rPr>
                <w:rStyle w:val="FootnoteReference"/>
              </w:rPr>
              <w:footnoteReference w:id="46"/>
            </w:r>
            <w:r w:rsidRPr="008B62D7">
              <w:t xml:space="preserve"> nuostat</w:t>
            </w:r>
            <w:r>
              <w:t xml:space="preserve">ų laikymosi. </w:t>
            </w:r>
          </w:p>
        </w:tc>
      </w:tr>
      <w:tr w:rsidR="00031BF0" w:rsidRPr="008B62D7" w14:paraId="7F4669FC" w14:textId="77777777" w:rsidTr="004D390A">
        <w:tc>
          <w:tcPr>
            <w:tcW w:w="675" w:type="dxa"/>
            <w:shd w:val="clear" w:color="auto" w:fill="auto"/>
            <w:vAlign w:val="center"/>
          </w:tcPr>
          <w:p w14:paraId="277D9C44" w14:textId="77777777" w:rsidR="00031BF0" w:rsidRPr="008B62D7" w:rsidRDefault="00031BF0" w:rsidP="00C20E90">
            <w:pPr>
              <w:pStyle w:val="ListParagraph"/>
              <w:numPr>
                <w:ilvl w:val="0"/>
                <w:numId w:val="22"/>
              </w:numPr>
              <w:spacing w:after="0" w:line="240" w:lineRule="auto"/>
              <w:ind w:left="0" w:firstLine="0"/>
              <w:jc w:val="center"/>
              <w:rPr>
                <w:rFonts w:ascii="Times New Roman" w:hAnsi="Times New Roman"/>
                <w:sz w:val="24"/>
                <w:szCs w:val="24"/>
              </w:rPr>
            </w:pPr>
          </w:p>
        </w:tc>
        <w:tc>
          <w:tcPr>
            <w:tcW w:w="9161" w:type="dxa"/>
            <w:shd w:val="clear" w:color="auto" w:fill="auto"/>
          </w:tcPr>
          <w:p w14:paraId="18E0B32C" w14:textId="77777777" w:rsidR="00031BF0" w:rsidRPr="008B62D7" w:rsidRDefault="00D516D3" w:rsidP="00BD5DD6">
            <w:pPr>
              <w:pStyle w:val="Normal12pt"/>
              <w:tabs>
                <w:tab w:val="clear" w:pos="737"/>
                <w:tab w:val="left" w:pos="993"/>
              </w:tabs>
              <w:ind w:right="0"/>
              <w:rPr>
                <w:bCs/>
              </w:rPr>
            </w:pPr>
            <w:r>
              <w:rPr>
                <w:bCs/>
              </w:rPr>
              <w:t>-</w:t>
            </w:r>
          </w:p>
        </w:tc>
      </w:tr>
      <w:tr w:rsidR="00B25C48" w:rsidRPr="008B62D7" w14:paraId="45544B31" w14:textId="77777777" w:rsidTr="00496028">
        <w:tc>
          <w:tcPr>
            <w:tcW w:w="9836" w:type="dxa"/>
            <w:gridSpan w:val="2"/>
            <w:shd w:val="clear" w:color="auto" w:fill="auto"/>
            <w:vAlign w:val="center"/>
          </w:tcPr>
          <w:p w14:paraId="4B5CE1EE" w14:textId="77777777" w:rsidR="00B25C48" w:rsidRDefault="00B25C48" w:rsidP="00B25C48">
            <w:pPr>
              <w:pStyle w:val="Normal12pt"/>
              <w:tabs>
                <w:tab w:val="clear" w:pos="737"/>
                <w:tab w:val="left" w:pos="993"/>
              </w:tabs>
              <w:ind w:right="0" w:firstLine="567"/>
              <w:rPr>
                <w:bCs/>
              </w:rPr>
            </w:pPr>
            <w:r w:rsidRPr="008B62D7">
              <w:t>Pirkimo sąlygų 3.11 punkto reikalavimas „&lt;...&gt; Volas turi turėti sistemas, skirtas visame plote kontroliuoti dangos sluoksnių tankinimo eigą (GPS pagalba) ir temperatūrą“</w:t>
            </w:r>
            <w:r>
              <w:t>, neleidžiant alternatyvių sprendinių,</w:t>
            </w:r>
            <w:r w:rsidRPr="008B62D7">
              <w:t xml:space="preserve"> yra perteklinis ir neproporcingas Pirkimo objektui, kadangi reikalaujama sistema nėra standartinis įrenginys rangos darbuose naudojamuose mechanizmuose, o statybos darbų vadovas ir techninis prižiūrėtojas kitais būdais gali ir privalo užtikrinti atliekamų darbų kokybę.</w:t>
            </w:r>
          </w:p>
        </w:tc>
      </w:tr>
    </w:tbl>
    <w:p w14:paraId="4DD56793" w14:textId="77777777" w:rsidR="003D735F" w:rsidRDefault="003D735F" w:rsidP="00674C40">
      <w:pPr>
        <w:spacing w:after="0" w:line="240" w:lineRule="auto"/>
        <w:jc w:val="center"/>
        <w:rPr>
          <w:rFonts w:ascii="Times New Roman" w:hAnsi="Times New Roman"/>
          <w:b/>
          <w:sz w:val="24"/>
          <w:szCs w:val="24"/>
        </w:rPr>
      </w:pPr>
    </w:p>
    <w:p w14:paraId="0EF344E7" w14:textId="77777777" w:rsidR="00C143CE" w:rsidRDefault="00C143CE" w:rsidP="00674C40">
      <w:pPr>
        <w:spacing w:after="0" w:line="240" w:lineRule="auto"/>
        <w:jc w:val="center"/>
        <w:rPr>
          <w:rFonts w:ascii="Times New Roman" w:hAnsi="Times New Roman"/>
          <w:b/>
          <w:sz w:val="24"/>
          <w:szCs w:val="24"/>
        </w:rPr>
      </w:pPr>
    </w:p>
    <w:p w14:paraId="25A704DF" w14:textId="77777777" w:rsidR="00D83099" w:rsidRPr="008B62D7" w:rsidRDefault="00ED2E43" w:rsidP="00674C40">
      <w:pPr>
        <w:spacing w:after="0" w:line="240" w:lineRule="auto"/>
        <w:jc w:val="center"/>
        <w:rPr>
          <w:rFonts w:ascii="Times New Roman" w:hAnsi="Times New Roman"/>
          <w:b/>
          <w:sz w:val="24"/>
          <w:szCs w:val="24"/>
        </w:rPr>
      </w:pPr>
      <w:r w:rsidRPr="008B62D7">
        <w:rPr>
          <w:rFonts w:ascii="Times New Roman" w:hAnsi="Times New Roman"/>
          <w:b/>
          <w:sz w:val="24"/>
          <w:szCs w:val="24"/>
        </w:rPr>
        <w:t>I</w:t>
      </w:r>
      <w:r w:rsidR="00D83099" w:rsidRPr="008B62D7">
        <w:rPr>
          <w:rFonts w:ascii="Times New Roman" w:hAnsi="Times New Roman"/>
          <w:b/>
          <w:sz w:val="24"/>
          <w:szCs w:val="24"/>
        </w:rPr>
        <w:t>V dalis. SPRENDIMAS</w:t>
      </w:r>
    </w:p>
    <w:p w14:paraId="1372A646" w14:textId="77777777" w:rsidR="00BA3D29" w:rsidRPr="008B62D7" w:rsidRDefault="00BA3D29" w:rsidP="00674C40">
      <w:pPr>
        <w:spacing w:after="0" w:line="240" w:lineRule="auto"/>
        <w:jc w:val="both"/>
        <w:rPr>
          <w:rFonts w:ascii="Times New Roman" w:hAnsi="Times New Roman"/>
          <w:b/>
          <w:sz w:val="24"/>
          <w:szCs w:val="24"/>
        </w:rPr>
      </w:pPr>
    </w:p>
    <w:p w14:paraId="306174F1" w14:textId="77777777" w:rsidR="004C0CA2" w:rsidRDefault="004C0CA2" w:rsidP="00B25C48">
      <w:pPr>
        <w:spacing w:after="0"/>
        <w:ind w:firstLine="567"/>
        <w:jc w:val="both"/>
        <w:rPr>
          <w:rFonts w:ascii="Times New Roman" w:hAnsi="Times New Roman"/>
          <w:sz w:val="24"/>
          <w:szCs w:val="24"/>
        </w:rPr>
      </w:pPr>
      <w:r>
        <w:rPr>
          <w:rFonts w:ascii="Times New Roman" w:hAnsi="Times New Roman"/>
          <w:sz w:val="24"/>
          <w:szCs w:val="24"/>
        </w:rPr>
        <w:t>Pažymėtina, kad Tarnyba 2017-08-10 raštu Nr. 4S-2524 kreipėsi į Lietuvos automobilių kelių direkciją prie Susisiekimo ministerijos (toliau – LAKD), kaip įgaliojimą atlikti Pirkimo procedūras Perkančiajai organizacijai suteikusią ir didžiausią patirtį tokio pobūdžio pirkimuose turinčią perkančiąją organizaciją</w:t>
      </w:r>
      <w:r w:rsidR="00275A50">
        <w:rPr>
          <w:rFonts w:ascii="Times New Roman" w:hAnsi="Times New Roman"/>
          <w:sz w:val="24"/>
          <w:szCs w:val="24"/>
        </w:rPr>
        <w:t>,</w:t>
      </w:r>
      <w:r>
        <w:rPr>
          <w:rFonts w:ascii="Times New Roman" w:hAnsi="Times New Roman"/>
          <w:sz w:val="24"/>
          <w:szCs w:val="24"/>
        </w:rPr>
        <w:t xml:space="preserve"> su prašymu paaiškinti ir pagrįsti Pirkimo dokumentuose nustatytus reikalavimus ir sąlygas. LAKD įvertinusi Pirkimo sąlygose nustatytus reikalavimus ir sąlygas 2017-08-18 raštu Nr. 2E-1533 „Dėl viešojo pirkimo Nr. 185315“ informavo Tarnybą, kad iš esmės nepritaria Pirkimo sąlygoms ir neprieštarauja, kad Pirkimo procedūros būtų nutrauktos.</w:t>
      </w:r>
    </w:p>
    <w:p w14:paraId="25D00D28" w14:textId="77777777" w:rsidR="009A1247" w:rsidRPr="008B62D7" w:rsidRDefault="009A1247" w:rsidP="00B25C48">
      <w:pPr>
        <w:spacing w:after="0"/>
        <w:ind w:firstLine="567"/>
        <w:jc w:val="both"/>
        <w:rPr>
          <w:rFonts w:ascii="Times New Roman" w:hAnsi="Times New Roman"/>
          <w:sz w:val="24"/>
          <w:szCs w:val="24"/>
          <w:lang w:eastAsia="lt-LT"/>
        </w:rPr>
      </w:pPr>
      <w:r w:rsidRPr="008B62D7">
        <w:rPr>
          <w:rFonts w:ascii="Times New Roman" w:hAnsi="Times New Roman"/>
          <w:sz w:val="24"/>
          <w:szCs w:val="24"/>
        </w:rPr>
        <w:t>Atsižvelgdama į tai, kad Pirkimas buvo paskelbtas 2017-03-31 (t. y. iki naujo Viešųjų pirkimų įstatymo įsigaliojimo), o išvados II dalyje konstatuotų pažeidimų ištaisymas įvertinus jų gausą (</w:t>
      </w:r>
      <w:r w:rsidR="00D516D3">
        <w:rPr>
          <w:rFonts w:ascii="Times New Roman" w:hAnsi="Times New Roman"/>
          <w:sz w:val="24"/>
          <w:szCs w:val="24"/>
        </w:rPr>
        <w:t>Pirkimo</w:t>
      </w:r>
      <w:r w:rsidR="00676BE7" w:rsidRPr="008B62D7">
        <w:rPr>
          <w:rFonts w:ascii="Times New Roman" w:hAnsi="Times New Roman"/>
          <w:sz w:val="24"/>
          <w:szCs w:val="24"/>
        </w:rPr>
        <w:t xml:space="preserve"> </w:t>
      </w:r>
      <w:r w:rsidRPr="008B62D7">
        <w:rPr>
          <w:rFonts w:ascii="Times New Roman" w:hAnsi="Times New Roman"/>
          <w:sz w:val="24"/>
          <w:szCs w:val="24"/>
        </w:rPr>
        <w:t>sąlygų tikslinimas gali užtrukti ne vieną mėnesį) ir svarbą viešųjų pirkimų principams ir Pirkimo tikslui užtikrinti, reikštų naujo pirkimo paskelbimą, Tarnyba, vadovaudamasi Lietuvos Respublikos viešųjų pirkimų įstatymo 95 straipsnio 2 dalies 5 punktu,</w:t>
      </w:r>
      <w:r w:rsidR="00FA10A7">
        <w:rPr>
          <w:rFonts w:ascii="Times New Roman" w:hAnsi="Times New Roman"/>
          <w:sz w:val="24"/>
          <w:szCs w:val="24"/>
        </w:rPr>
        <w:t xml:space="preserve"> </w:t>
      </w:r>
      <w:r w:rsidRPr="008B62D7">
        <w:rPr>
          <w:rFonts w:ascii="Times New Roman" w:hAnsi="Times New Roman"/>
          <w:b/>
          <w:sz w:val="24"/>
          <w:szCs w:val="24"/>
        </w:rPr>
        <w:t>įpareigoja</w:t>
      </w:r>
      <w:r w:rsidRPr="008B62D7">
        <w:rPr>
          <w:rFonts w:ascii="Times New Roman" w:hAnsi="Times New Roman"/>
          <w:sz w:val="24"/>
          <w:szCs w:val="24"/>
        </w:rPr>
        <w:t xml:space="preserve"> </w:t>
      </w:r>
      <w:r w:rsidR="00126DD8">
        <w:rPr>
          <w:rFonts w:ascii="Times New Roman" w:hAnsi="Times New Roman"/>
          <w:sz w:val="24"/>
          <w:szCs w:val="24"/>
        </w:rPr>
        <w:t>P</w:t>
      </w:r>
      <w:r w:rsidR="00126DD8" w:rsidRPr="008B62D7">
        <w:rPr>
          <w:rFonts w:ascii="Times New Roman" w:hAnsi="Times New Roman"/>
          <w:sz w:val="24"/>
          <w:szCs w:val="24"/>
        </w:rPr>
        <w:t xml:space="preserve">erkančiąją </w:t>
      </w:r>
      <w:r w:rsidRPr="008B62D7">
        <w:rPr>
          <w:rFonts w:ascii="Times New Roman" w:hAnsi="Times New Roman"/>
          <w:sz w:val="24"/>
          <w:szCs w:val="24"/>
        </w:rPr>
        <w:t xml:space="preserve">organizaciją: </w:t>
      </w:r>
    </w:p>
    <w:p w14:paraId="39957593" w14:textId="77777777" w:rsidR="009A1247" w:rsidRPr="008B62D7" w:rsidRDefault="009A1247" w:rsidP="00B25C48">
      <w:pPr>
        <w:pStyle w:val="Normal12pt"/>
        <w:ind w:right="0" w:firstLine="567"/>
      </w:pPr>
      <w:r w:rsidRPr="008B62D7">
        <w:t>1. Nutraukti Pirkimo procedūras.</w:t>
      </w:r>
    </w:p>
    <w:p w14:paraId="35CC4B2A" w14:textId="77777777" w:rsidR="009A1247" w:rsidRPr="008B62D7" w:rsidRDefault="009A1247" w:rsidP="00B25C48">
      <w:pPr>
        <w:pStyle w:val="Normal12pt"/>
        <w:ind w:right="0" w:firstLine="567"/>
      </w:pPr>
      <w:r w:rsidRPr="008B62D7">
        <w:t>2. Raštu informuoti Tarnybą apie įpareigojimo įvykdymą ir pateikti tai patvirtinančius dokumentus.</w:t>
      </w:r>
    </w:p>
    <w:p w14:paraId="796C5E06" w14:textId="77777777" w:rsidR="009A1247" w:rsidRPr="008B62D7" w:rsidRDefault="009A1247" w:rsidP="00B25C48">
      <w:pPr>
        <w:spacing w:after="0" w:line="240" w:lineRule="auto"/>
        <w:ind w:firstLine="567"/>
        <w:jc w:val="both"/>
        <w:rPr>
          <w:rFonts w:ascii="Times New Roman" w:hAnsi="Times New Roman"/>
          <w:sz w:val="24"/>
          <w:szCs w:val="24"/>
        </w:rPr>
      </w:pPr>
      <w:r w:rsidRPr="008B62D7">
        <w:rPr>
          <w:rFonts w:ascii="Times New Roman" w:hAnsi="Times New Roman"/>
          <w:sz w:val="24"/>
          <w:szCs w:val="24"/>
        </w:rPr>
        <w:t>Vadovaujantis Lietuvos Respublikos administracinių bylų teisenos įstatymo 5 ir 17</w:t>
      </w:r>
      <w:r w:rsidRPr="008B62D7">
        <w:rPr>
          <w:rFonts w:ascii="Times New Roman" w:hAnsi="Times New Roman"/>
          <w:b/>
          <w:sz w:val="24"/>
          <w:szCs w:val="24"/>
        </w:rPr>
        <w:t xml:space="preserve"> </w:t>
      </w:r>
      <w:r w:rsidRPr="008B62D7">
        <w:rPr>
          <w:rFonts w:ascii="Times New Roman" w:hAnsi="Times New Roman"/>
          <w:sz w:val="24"/>
          <w:szCs w:val="24"/>
        </w:rPr>
        <w:t>straipsniais, nesutikę su Tarnybos įpareigojimu, Jūs galite ją apskųsti teismui šio įstatymo nustatyta tvarka.</w:t>
      </w:r>
    </w:p>
    <w:p w14:paraId="4D600F3B" w14:textId="77777777" w:rsidR="009A1247" w:rsidRPr="008B62D7" w:rsidRDefault="009A1247" w:rsidP="00FC7F1C">
      <w:pPr>
        <w:tabs>
          <w:tab w:val="left" w:pos="993"/>
        </w:tabs>
        <w:spacing w:after="0" w:line="240" w:lineRule="auto"/>
        <w:ind w:firstLine="709"/>
        <w:jc w:val="both"/>
        <w:rPr>
          <w:rFonts w:ascii="Times New Roman" w:hAnsi="Times New Roman"/>
          <w:sz w:val="24"/>
          <w:szCs w:val="24"/>
        </w:rPr>
      </w:pPr>
    </w:p>
    <w:p w14:paraId="7935186E" w14:textId="77777777" w:rsidR="009A1247" w:rsidRPr="008B62D7" w:rsidRDefault="009A1247" w:rsidP="00FC7F1C">
      <w:pPr>
        <w:tabs>
          <w:tab w:val="left" w:pos="993"/>
        </w:tabs>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4927"/>
        <w:gridCol w:w="4927"/>
      </w:tblGrid>
      <w:tr w:rsidR="00392533" w:rsidRPr="008B62D7" w14:paraId="5D2620EE" w14:textId="77777777" w:rsidTr="0033325B">
        <w:tc>
          <w:tcPr>
            <w:tcW w:w="4927" w:type="dxa"/>
            <w:shd w:val="clear" w:color="auto" w:fill="auto"/>
          </w:tcPr>
          <w:p w14:paraId="04F7378A" w14:textId="77777777" w:rsidR="00392533" w:rsidRPr="008B62D7" w:rsidRDefault="00392533" w:rsidP="0033325B">
            <w:pPr>
              <w:spacing w:after="0" w:line="240" w:lineRule="auto"/>
              <w:rPr>
                <w:rFonts w:ascii="Times New Roman" w:hAnsi="Times New Roman"/>
                <w:b/>
                <w:sz w:val="24"/>
                <w:szCs w:val="24"/>
              </w:rPr>
            </w:pPr>
            <w:r w:rsidRPr="008B62D7">
              <w:rPr>
                <w:rFonts w:ascii="Times New Roman" w:hAnsi="Times New Roman"/>
                <w:sz w:val="24"/>
                <w:szCs w:val="24"/>
              </w:rPr>
              <w:t>Vyriausioji specialistė</w:t>
            </w:r>
          </w:p>
        </w:tc>
        <w:tc>
          <w:tcPr>
            <w:tcW w:w="4927" w:type="dxa"/>
            <w:shd w:val="clear" w:color="auto" w:fill="auto"/>
          </w:tcPr>
          <w:p w14:paraId="1B1A5B1D" w14:textId="77777777" w:rsidR="00392533" w:rsidRPr="008B62D7" w:rsidRDefault="004114E9" w:rsidP="0033325B">
            <w:pPr>
              <w:spacing w:after="0" w:line="240" w:lineRule="auto"/>
              <w:jc w:val="right"/>
              <w:rPr>
                <w:rFonts w:ascii="Times New Roman" w:hAnsi="Times New Roman"/>
                <w:b/>
                <w:sz w:val="24"/>
                <w:szCs w:val="24"/>
              </w:rPr>
            </w:pPr>
            <w:r w:rsidRPr="008B62D7">
              <w:rPr>
                <w:rFonts w:ascii="Times New Roman" w:hAnsi="Times New Roman"/>
                <w:sz w:val="24"/>
                <w:szCs w:val="24"/>
              </w:rPr>
              <w:t>Julija Grudinkė</w:t>
            </w:r>
          </w:p>
        </w:tc>
      </w:tr>
    </w:tbl>
    <w:p w14:paraId="1ACA298C" w14:textId="77777777" w:rsidR="00BA3D29" w:rsidRPr="00674C40" w:rsidRDefault="00BA3D29" w:rsidP="00674C40">
      <w:pPr>
        <w:spacing w:after="0" w:line="240" w:lineRule="auto"/>
        <w:rPr>
          <w:rFonts w:ascii="Times New Roman" w:hAnsi="Times New Roman"/>
          <w:b/>
          <w:sz w:val="24"/>
          <w:szCs w:val="24"/>
        </w:rPr>
      </w:pPr>
    </w:p>
    <w:p w14:paraId="58A8A697" w14:textId="77777777" w:rsidR="00E93D32" w:rsidRPr="00674C40" w:rsidRDefault="00E93D32" w:rsidP="00674C40">
      <w:pPr>
        <w:spacing w:after="0" w:line="240" w:lineRule="auto"/>
        <w:rPr>
          <w:rFonts w:ascii="Times New Roman" w:hAnsi="Times New Roman"/>
          <w:sz w:val="24"/>
          <w:szCs w:val="24"/>
        </w:rPr>
      </w:pPr>
    </w:p>
    <w:p w14:paraId="590BDAAD" w14:textId="77777777" w:rsidR="00E93D32" w:rsidRDefault="00E93D32" w:rsidP="00674C40">
      <w:pPr>
        <w:spacing w:after="0" w:line="240" w:lineRule="auto"/>
        <w:rPr>
          <w:rFonts w:ascii="Times New Roman" w:hAnsi="Times New Roman"/>
          <w:sz w:val="24"/>
          <w:szCs w:val="24"/>
        </w:rPr>
      </w:pPr>
    </w:p>
    <w:p w14:paraId="36D1074C" w14:textId="77777777" w:rsidR="00A34D64" w:rsidRDefault="00A34D64" w:rsidP="00674C40">
      <w:pPr>
        <w:spacing w:after="0" w:line="240" w:lineRule="auto"/>
        <w:rPr>
          <w:rFonts w:ascii="Times New Roman" w:hAnsi="Times New Roman"/>
          <w:sz w:val="24"/>
          <w:szCs w:val="24"/>
        </w:rPr>
      </w:pPr>
    </w:p>
    <w:p w14:paraId="0C11D065" w14:textId="77777777" w:rsidR="00E4324C" w:rsidRDefault="00E4324C" w:rsidP="00674C40">
      <w:pPr>
        <w:spacing w:after="0" w:line="240" w:lineRule="auto"/>
        <w:rPr>
          <w:rFonts w:ascii="Times New Roman" w:hAnsi="Times New Roman"/>
          <w:sz w:val="24"/>
          <w:szCs w:val="24"/>
        </w:rPr>
      </w:pPr>
    </w:p>
    <w:p w14:paraId="227467BE" w14:textId="77777777" w:rsidR="00BD5DD6" w:rsidRDefault="00BD5DD6" w:rsidP="00674C40">
      <w:pPr>
        <w:spacing w:after="0" w:line="240" w:lineRule="auto"/>
        <w:rPr>
          <w:rFonts w:ascii="Times New Roman" w:hAnsi="Times New Roman"/>
          <w:sz w:val="24"/>
          <w:szCs w:val="24"/>
        </w:rPr>
      </w:pPr>
    </w:p>
    <w:p w14:paraId="66BCAE93" w14:textId="77777777" w:rsidR="00C143CE" w:rsidRDefault="00C143CE" w:rsidP="00674C40">
      <w:pPr>
        <w:spacing w:after="0" w:line="240" w:lineRule="auto"/>
        <w:rPr>
          <w:rFonts w:ascii="Times New Roman" w:hAnsi="Times New Roman"/>
          <w:sz w:val="24"/>
          <w:szCs w:val="24"/>
        </w:rPr>
      </w:pPr>
    </w:p>
    <w:p w14:paraId="6F823356" w14:textId="77777777" w:rsidR="00C143CE" w:rsidRDefault="00C143CE" w:rsidP="00674C40">
      <w:pPr>
        <w:spacing w:after="0" w:line="240" w:lineRule="auto"/>
        <w:rPr>
          <w:rFonts w:ascii="Times New Roman" w:hAnsi="Times New Roman"/>
          <w:sz w:val="24"/>
          <w:szCs w:val="24"/>
        </w:rPr>
      </w:pPr>
    </w:p>
    <w:p w14:paraId="70F866B2" w14:textId="77777777" w:rsidR="00C143CE" w:rsidRDefault="00C143CE" w:rsidP="00674C40">
      <w:pPr>
        <w:spacing w:after="0" w:line="240" w:lineRule="auto"/>
        <w:rPr>
          <w:rFonts w:ascii="Times New Roman" w:hAnsi="Times New Roman"/>
          <w:sz w:val="24"/>
          <w:szCs w:val="24"/>
        </w:rPr>
      </w:pPr>
    </w:p>
    <w:p w14:paraId="0488AFA2" w14:textId="77777777" w:rsidR="00C143CE" w:rsidRDefault="00C143CE" w:rsidP="00674C40">
      <w:pPr>
        <w:spacing w:after="0" w:line="240" w:lineRule="auto"/>
        <w:rPr>
          <w:rFonts w:ascii="Times New Roman" w:hAnsi="Times New Roman"/>
          <w:sz w:val="24"/>
          <w:szCs w:val="24"/>
        </w:rPr>
      </w:pPr>
    </w:p>
    <w:p w14:paraId="0AC67BCC" w14:textId="77777777" w:rsidR="00E93D32" w:rsidRPr="00674C40" w:rsidRDefault="00E93D32" w:rsidP="00674C40">
      <w:pPr>
        <w:spacing w:after="0" w:line="240" w:lineRule="auto"/>
        <w:rPr>
          <w:rFonts w:ascii="Times New Roman" w:hAnsi="Times New Roman"/>
          <w:sz w:val="24"/>
          <w:szCs w:val="24"/>
        </w:rPr>
      </w:pPr>
    </w:p>
    <w:p w14:paraId="7B87FF72" w14:textId="77777777" w:rsidR="00E93D32" w:rsidRPr="00674C40" w:rsidRDefault="004114E9" w:rsidP="00392533">
      <w:pPr>
        <w:spacing w:after="0" w:line="240" w:lineRule="auto"/>
        <w:rPr>
          <w:rFonts w:ascii="Times New Roman" w:hAnsi="Times New Roman"/>
          <w:sz w:val="24"/>
          <w:szCs w:val="24"/>
        </w:rPr>
      </w:pPr>
      <w:r>
        <w:rPr>
          <w:rFonts w:ascii="Times New Roman" w:hAnsi="Times New Roman"/>
          <w:bCs/>
          <w:sz w:val="24"/>
          <w:szCs w:val="24"/>
        </w:rPr>
        <w:t>J. Grudinkė,</w:t>
      </w:r>
      <w:r w:rsidR="00392533" w:rsidRPr="00392533">
        <w:rPr>
          <w:rFonts w:ascii="Times New Roman" w:hAnsi="Times New Roman"/>
          <w:bCs/>
          <w:sz w:val="24"/>
          <w:szCs w:val="24"/>
        </w:rPr>
        <w:t xml:space="preserve"> tel. (8 5) 219 70</w:t>
      </w:r>
      <w:r>
        <w:rPr>
          <w:rFonts w:ascii="Times New Roman" w:hAnsi="Times New Roman"/>
          <w:bCs/>
          <w:sz w:val="24"/>
          <w:szCs w:val="24"/>
        </w:rPr>
        <w:t>30</w:t>
      </w:r>
      <w:r w:rsidR="00392533" w:rsidRPr="00392533">
        <w:rPr>
          <w:rFonts w:ascii="Times New Roman" w:hAnsi="Times New Roman"/>
          <w:bCs/>
          <w:sz w:val="24"/>
          <w:szCs w:val="24"/>
        </w:rPr>
        <w:t xml:space="preserve">, el. p. </w:t>
      </w:r>
      <w:r>
        <w:rPr>
          <w:rFonts w:ascii="Times New Roman" w:hAnsi="Times New Roman"/>
          <w:bCs/>
          <w:sz w:val="24"/>
          <w:szCs w:val="24"/>
        </w:rPr>
        <w:t>Julija.Grudinke</w:t>
      </w:r>
      <w:r w:rsidR="00392533" w:rsidRPr="00392533">
        <w:rPr>
          <w:rFonts w:ascii="Times New Roman" w:hAnsi="Times New Roman"/>
          <w:bCs/>
          <w:sz w:val="24"/>
          <w:szCs w:val="24"/>
        </w:rPr>
        <w:t>@vpt.lt</w:t>
      </w:r>
    </w:p>
    <w:sectPr w:rsidR="00E93D32" w:rsidRPr="00674C40" w:rsidSect="00EB3342">
      <w:head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C7137" w14:textId="77777777" w:rsidR="004B1A30" w:rsidRDefault="004B1A30" w:rsidP="006741AE">
      <w:pPr>
        <w:spacing w:after="0" w:line="240" w:lineRule="auto"/>
      </w:pPr>
      <w:r>
        <w:separator/>
      </w:r>
    </w:p>
  </w:endnote>
  <w:endnote w:type="continuationSeparator" w:id="0">
    <w:p w14:paraId="13436A70" w14:textId="77777777" w:rsidR="004B1A30" w:rsidRDefault="004B1A30" w:rsidP="0067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08C8C" w14:textId="77777777" w:rsidR="004B1A30" w:rsidRDefault="004B1A30" w:rsidP="006741AE">
      <w:pPr>
        <w:spacing w:after="0" w:line="240" w:lineRule="auto"/>
      </w:pPr>
      <w:r>
        <w:separator/>
      </w:r>
    </w:p>
  </w:footnote>
  <w:footnote w:type="continuationSeparator" w:id="0">
    <w:p w14:paraId="2FE03873" w14:textId="77777777" w:rsidR="004B1A30" w:rsidRDefault="004B1A30" w:rsidP="006741AE">
      <w:pPr>
        <w:spacing w:after="0" w:line="240" w:lineRule="auto"/>
      </w:pPr>
      <w:r>
        <w:continuationSeparator/>
      </w:r>
    </w:p>
  </w:footnote>
  <w:footnote w:id="1">
    <w:p w14:paraId="0214299E" w14:textId="77777777" w:rsidR="00E04AED" w:rsidRPr="00E04AED" w:rsidRDefault="00E04AED">
      <w:pPr>
        <w:pStyle w:val="FootnoteText"/>
        <w:rPr>
          <w:rFonts w:ascii="Times New Roman" w:hAnsi="Times New Roman"/>
        </w:rPr>
      </w:pPr>
      <w:r w:rsidRPr="00E04AED">
        <w:rPr>
          <w:rStyle w:val="FootnoteReference"/>
          <w:rFonts w:ascii="Times New Roman" w:hAnsi="Times New Roman"/>
        </w:rPr>
        <w:footnoteRef/>
      </w:r>
      <w:r w:rsidRPr="00E04AED">
        <w:rPr>
          <w:rFonts w:ascii="Times New Roman" w:hAnsi="Times New Roman"/>
        </w:rPr>
        <w:t xml:space="preserve"> „Pirkimo dokumentai turi būti tikslūs, aiškūs, be dviprasmybių, kad tiekėjai galėtų pateikti pasiūlymus, o Perkančioji organizacija nupirkti tai, ko reikia.“;</w:t>
      </w:r>
    </w:p>
  </w:footnote>
  <w:footnote w:id="2">
    <w:p w14:paraId="5A8D4220" w14:textId="77777777" w:rsidR="00E04AED" w:rsidRDefault="00E04AED" w:rsidP="00E04AED">
      <w:pPr>
        <w:pStyle w:val="FootnoteText"/>
      </w:pPr>
      <w:r>
        <w:rPr>
          <w:rStyle w:val="FootnoteReference"/>
        </w:rPr>
        <w:footnoteRef/>
      </w:r>
      <w:r>
        <w:t xml:space="preserve"> </w:t>
      </w:r>
      <w:r w:rsidRPr="00434A93">
        <w:rPr>
          <w:rFonts w:ascii="Times New Roman" w:hAnsi="Times New Roman"/>
        </w:rPr>
        <w:t>„Perkančioji organizacija &lt;...&gt; supaprastintus pirkimus atlieka pagal pasitvirtintas taisykles &lt;...&gt;“;</w:t>
      </w:r>
    </w:p>
  </w:footnote>
  <w:footnote w:id="3">
    <w:p w14:paraId="782EBA83" w14:textId="77777777" w:rsidR="00434A93" w:rsidRPr="00434A93" w:rsidRDefault="00434A93" w:rsidP="00434A93">
      <w:pPr>
        <w:pStyle w:val="FootnoteText"/>
        <w:jc w:val="both"/>
        <w:rPr>
          <w:rFonts w:ascii="Times New Roman" w:hAnsi="Times New Roman"/>
        </w:rPr>
      </w:pPr>
      <w:r w:rsidRPr="00434A93">
        <w:rPr>
          <w:rStyle w:val="FootnoteReference"/>
          <w:rFonts w:ascii="Times New Roman" w:hAnsi="Times New Roman"/>
        </w:rPr>
        <w:footnoteRef/>
      </w:r>
      <w:r w:rsidRPr="00434A93">
        <w:rPr>
          <w:rFonts w:ascii="Times New Roman" w:hAnsi="Times New Roman"/>
        </w:rPr>
        <w:t xml:space="preserve"> „</w:t>
      </w:r>
      <w:r w:rsidRPr="00434A93">
        <w:rPr>
          <w:rFonts w:ascii="Times New Roman" w:hAnsi="Times New Roman"/>
          <w:lang w:eastAsia="lt-LT"/>
        </w:rPr>
        <w:t>Siekiant įsitikinti, ar tiekėjas bus pajėgus įvykdyti pirkimo sutartį, vadovaujantis Viešųjų pirkimų įstatymo 32–38 straipsnių nuostatomis ir atsižvelgiant į Tiekėjų kvalifikacijos vertinimo metodines rekomendacijas, &lt;...&gt; pirkimo dokumentuose nustatomi tiekėjų kvalifikacijos reikalavimai ir vykdomas tiekėjų kvalifikacijos patikrinimas.“;</w:t>
      </w:r>
    </w:p>
  </w:footnote>
  <w:footnote w:id="4">
    <w:p w14:paraId="33B63238" w14:textId="77777777" w:rsidR="00434A93" w:rsidRPr="00434A93" w:rsidRDefault="00434A93" w:rsidP="00434A93">
      <w:pPr>
        <w:pStyle w:val="FootnoteText"/>
        <w:jc w:val="both"/>
        <w:rPr>
          <w:rFonts w:ascii="Times New Roman" w:hAnsi="Times New Roman"/>
        </w:rPr>
      </w:pPr>
      <w:r w:rsidRPr="00434A93">
        <w:rPr>
          <w:rStyle w:val="FootnoteReference"/>
          <w:rFonts w:ascii="Times New Roman" w:hAnsi="Times New Roman"/>
        </w:rPr>
        <w:footnoteRef/>
      </w:r>
      <w:r w:rsidRPr="00434A93">
        <w:rPr>
          <w:rFonts w:ascii="Times New Roman" w:hAnsi="Times New Roman"/>
        </w:rPr>
        <w:t xml:space="preserve"> </w:t>
      </w:r>
      <w:r w:rsidR="00C70BE2">
        <w:rPr>
          <w:rFonts w:ascii="Times New Roman" w:hAnsi="Times New Roman"/>
        </w:rPr>
        <w:t>Žr. išnašą Nr.2;</w:t>
      </w:r>
    </w:p>
  </w:footnote>
  <w:footnote w:id="5">
    <w:p w14:paraId="6FB16748" w14:textId="77777777" w:rsidR="00D55597" w:rsidRPr="00053395" w:rsidRDefault="00D55597" w:rsidP="00053395">
      <w:pPr>
        <w:pStyle w:val="FootnoteText"/>
        <w:jc w:val="both"/>
        <w:rPr>
          <w:rFonts w:ascii="Times New Roman" w:hAnsi="Times New Roman"/>
        </w:rPr>
      </w:pPr>
      <w:r w:rsidRPr="00053395">
        <w:rPr>
          <w:rStyle w:val="FootnoteReference"/>
          <w:rFonts w:ascii="Times New Roman" w:hAnsi="Times New Roman"/>
        </w:rPr>
        <w:footnoteRef/>
      </w:r>
      <w:r w:rsidRPr="00053395">
        <w:rPr>
          <w:rFonts w:ascii="Times New Roman" w:hAnsi="Times New Roman"/>
        </w:rPr>
        <w:t xml:space="preserve"> „</w:t>
      </w:r>
      <w:r w:rsidR="00053395" w:rsidRPr="00053395">
        <w:rPr>
          <w:rFonts w:ascii="Times New Roman" w:hAnsi="Times New Roman"/>
        </w:rPr>
        <w:t xml:space="preserve">Perkančioji organizacija, parinkdama tiekėją ir siekdama įsitikinti, ar tiekėjas bus pajėgus įvykdyti pirkimo sutartį, vadovaujasi šio įstatymo 32–38 straipsniuose nustatytais reikalavimais </w:t>
      </w:r>
      <w:r w:rsidR="00053395">
        <w:rPr>
          <w:rFonts w:ascii="Times New Roman" w:hAnsi="Times New Roman"/>
        </w:rPr>
        <w:t>&lt;...&gt;</w:t>
      </w:r>
      <w:r w:rsidRPr="00053395">
        <w:rPr>
          <w:rFonts w:ascii="Times New Roman" w:hAnsi="Times New Roman"/>
        </w:rPr>
        <w:t>“</w:t>
      </w:r>
      <w:r w:rsidR="00BD5DD6" w:rsidRPr="00053395">
        <w:rPr>
          <w:rFonts w:ascii="Times New Roman" w:hAnsi="Times New Roman"/>
        </w:rPr>
        <w:t>;</w:t>
      </w:r>
    </w:p>
  </w:footnote>
  <w:footnote w:id="6">
    <w:p w14:paraId="03D4264D" w14:textId="77777777" w:rsidR="00053395" w:rsidRPr="00053395" w:rsidRDefault="00053395" w:rsidP="00053395">
      <w:pPr>
        <w:pStyle w:val="FootnoteText"/>
        <w:jc w:val="both"/>
        <w:rPr>
          <w:rFonts w:ascii="Times New Roman" w:hAnsi="Times New Roman"/>
        </w:rPr>
      </w:pPr>
      <w:r w:rsidRPr="00053395">
        <w:rPr>
          <w:rStyle w:val="FootnoteReference"/>
          <w:rFonts w:ascii="Times New Roman" w:hAnsi="Times New Roman"/>
        </w:rPr>
        <w:footnoteRef/>
      </w:r>
      <w:r w:rsidRPr="00053395">
        <w:rPr>
          <w:rFonts w:ascii="Times New Roman" w:hAnsi="Times New Roman"/>
        </w:rPr>
        <w:t xml:space="preserve"> „</w:t>
      </w:r>
      <w:r>
        <w:rPr>
          <w:rFonts w:ascii="Times New Roman" w:hAnsi="Times New Roman"/>
        </w:rPr>
        <w:t xml:space="preserve">&lt;...&gt; </w:t>
      </w:r>
      <w:r w:rsidRPr="00053395">
        <w:rPr>
          <w:rFonts w:ascii="Times New Roman" w:hAnsi="Times New Roman"/>
        </w:rPr>
        <w:t>Kvalifikacijos ir informacijos bei dokumentų, kuriuos turi pateikti kandidatai ar dalyviai, reikalavimai nustatomi vadovaujantis šio įstatymo 33, 34, 35, 36, 37 ir 38 straipsnių nuostatomis.</w:t>
      </w:r>
      <w:r>
        <w:rPr>
          <w:rFonts w:ascii="Times New Roman" w:hAnsi="Times New Roman"/>
        </w:rPr>
        <w:t xml:space="preserve"> &lt;...&gt;“</w:t>
      </w:r>
    </w:p>
  </w:footnote>
  <w:footnote w:id="7">
    <w:p w14:paraId="7CCE163C" w14:textId="77777777" w:rsidR="00053395" w:rsidRPr="00053395" w:rsidRDefault="00053395" w:rsidP="00053395">
      <w:pPr>
        <w:pStyle w:val="FootnoteText"/>
        <w:jc w:val="both"/>
        <w:rPr>
          <w:rFonts w:ascii="Times New Roman" w:hAnsi="Times New Roman"/>
        </w:rPr>
      </w:pPr>
      <w:r w:rsidRPr="00053395">
        <w:rPr>
          <w:rStyle w:val="FootnoteReference"/>
          <w:rFonts w:ascii="Times New Roman" w:hAnsi="Times New Roman"/>
        </w:rPr>
        <w:footnoteRef/>
      </w:r>
      <w:r w:rsidRPr="00053395">
        <w:rPr>
          <w:rFonts w:ascii="Times New Roman" w:hAnsi="Times New Roman"/>
        </w:rPr>
        <w:t xml:space="preserve"> „fizinis asmuo arba tiekėjo, kuris yra juridinis asmuo, dalyvis, turintis balsų daugumą juridinio asmens dalyvių susirinkime, turi neišnykusį ar nepanaikintą teistumą už nusikalstamą bankrotą“;</w:t>
      </w:r>
    </w:p>
  </w:footnote>
  <w:footnote w:id="8">
    <w:p w14:paraId="0937F9D4" w14:textId="77777777" w:rsidR="008554A6" w:rsidRPr="00077CD3" w:rsidRDefault="008554A6" w:rsidP="00077CD3">
      <w:pPr>
        <w:pStyle w:val="FootnoteText"/>
        <w:jc w:val="both"/>
        <w:rPr>
          <w:rFonts w:ascii="Times New Roman" w:hAnsi="Times New Roman"/>
        </w:rPr>
      </w:pPr>
      <w:r w:rsidRPr="00077CD3">
        <w:rPr>
          <w:rStyle w:val="FootnoteReference"/>
          <w:rFonts w:ascii="Times New Roman" w:hAnsi="Times New Roman"/>
        </w:rPr>
        <w:footnoteRef/>
      </w:r>
      <w:r w:rsidRPr="00077CD3">
        <w:rPr>
          <w:rFonts w:ascii="Times New Roman" w:hAnsi="Times New Roman"/>
        </w:rPr>
        <w:t xml:space="preserve"> „Perkančiosios organizacijos nustatyti minimalūs kvalifikaciniai reikalavimai tiekėjams negali dirbtinai riboti konkurencijos, jie turi būti pagrįsti ir proporcingi pirkimo objektui, tikslūs ir aiškūs. &lt;...&gt;“</w:t>
      </w:r>
      <w:r w:rsidR="00077CD3" w:rsidRPr="00077CD3">
        <w:rPr>
          <w:rFonts w:ascii="Times New Roman" w:hAnsi="Times New Roman"/>
        </w:rPr>
        <w:t>;</w:t>
      </w:r>
    </w:p>
  </w:footnote>
  <w:footnote w:id="9">
    <w:p w14:paraId="43780192" w14:textId="77777777" w:rsidR="00EB5EEF" w:rsidRPr="00434A93" w:rsidRDefault="00EB5EEF" w:rsidP="00EB5EEF">
      <w:pPr>
        <w:pStyle w:val="FootnoteText"/>
        <w:jc w:val="both"/>
        <w:rPr>
          <w:rFonts w:ascii="Times New Roman" w:hAnsi="Times New Roman"/>
        </w:rPr>
      </w:pPr>
      <w:r w:rsidRPr="00434A93">
        <w:rPr>
          <w:rStyle w:val="FootnoteReference"/>
          <w:rFonts w:ascii="Times New Roman" w:hAnsi="Times New Roman"/>
        </w:rPr>
        <w:footnoteRef/>
      </w:r>
      <w:r w:rsidR="00465D54">
        <w:rPr>
          <w:rFonts w:ascii="Times New Roman" w:hAnsi="Times New Roman"/>
        </w:rPr>
        <w:t xml:space="preserve"> Žr. išnašą Nr. </w:t>
      </w:r>
      <w:r w:rsidR="008B62D7">
        <w:rPr>
          <w:rFonts w:ascii="Times New Roman" w:hAnsi="Times New Roman"/>
        </w:rPr>
        <w:t>3</w:t>
      </w:r>
      <w:r w:rsidR="00465D54">
        <w:rPr>
          <w:rFonts w:ascii="Times New Roman" w:hAnsi="Times New Roman"/>
        </w:rPr>
        <w:t>;</w:t>
      </w:r>
    </w:p>
  </w:footnote>
  <w:footnote w:id="10">
    <w:p w14:paraId="6DE129C9" w14:textId="77777777" w:rsidR="00EB5EEF" w:rsidRPr="00434A93" w:rsidRDefault="00EB5EEF" w:rsidP="00EB5EEF">
      <w:pPr>
        <w:pStyle w:val="FootnoteText"/>
        <w:jc w:val="both"/>
        <w:rPr>
          <w:rFonts w:ascii="Times New Roman" w:hAnsi="Times New Roman"/>
        </w:rPr>
      </w:pPr>
      <w:r w:rsidRPr="00434A93">
        <w:rPr>
          <w:rStyle w:val="FootnoteReference"/>
          <w:rFonts w:ascii="Times New Roman" w:hAnsi="Times New Roman"/>
        </w:rPr>
        <w:footnoteRef/>
      </w:r>
      <w:r w:rsidRPr="00434A93">
        <w:rPr>
          <w:rFonts w:ascii="Times New Roman" w:hAnsi="Times New Roman"/>
        </w:rPr>
        <w:t xml:space="preserve"> </w:t>
      </w:r>
      <w:r w:rsidR="00C70BE2">
        <w:rPr>
          <w:rFonts w:ascii="Times New Roman" w:hAnsi="Times New Roman"/>
        </w:rPr>
        <w:t>Žr. išnašą Nr. 2;</w:t>
      </w:r>
    </w:p>
  </w:footnote>
  <w:footnote w:id="11">
    <w:p w14:paraId="720CE580" w14:textId="77777777" w:rsidR="00EB5EEF" w:rsidRPr="00053395" w:rsidRDefault="00EB5EEF" w:rsidP="00EB5EEF">
      <w:pPr>
        <w:pStyle w:val="FootnoteText"/>
        <w:jc w:val="both"/>
        <w:rPr>
          <w:rFonts w:ascii="Times New Roman" w:hAnsi="Times New Roman"/>
        </w:rPr>
      </w:pPr>
      <w:r w:rsidRPr="00053395">
        <w:rPr>
          <w:rStyle w:val="FootnoteReference"/>
          <w:rFonts w:ascii="Times New Roman" w:hAnsi="Times New Roman"/>
        </w:rPr>
        <w:footnoteRef/>
      </w:r>
      <w:r w:rsidRPr="00053395">
        <w:rPr>
          <w:rFonts w:ascii="Times New Roman" w:hAnsi="Times New Roman"/>
        </w:rPr>
        <w:t xml:space="preserve"> </w:t>
      </w:r>
      <w:r w:rsidR="00C70BE2">
        <w:rPr>
          <w:rFonts w:ascii="Times New Roman" w:hAnsi="Times New Roman"/>
        </w:rPr>
        <w:t>Žr. išnašą Nr. 5;</w:t>
      </w:r>
    </w:p>
  </w:footnote>
  <w:footnote w:id="12">
    <w:p w14:paraId="73CD4579" w14:textId="77777777" w:rsidR="00EB5EEF" w:rsidRPr="00053395" w:rsidRDefault="00EB5EEF" w:rsidP="00EB5EEF">
      <w:pPr>
        <w:pStyle w:val="FootnoteText"/>
        <w:jc w:val="both"/>
        <w:rPr>
          <w:rFonts w:ascii="Times New Roman" w:hAnsi="Times New Roman"/>
        </w:rPr>
      </w:pPr>
      <w:r w:rsidRPr="00053395">
        <w:rPr>
          <w:rStyle w:val="FootnoteReference"/>
          <w:rFonts w:ascii="Times New Roman" w:hAnsi="Times New Roman"/>
        </w:rPr>
        <w:footnoteRef/>
      </w:r>
      <w:r w:rsidRPr="00053395">
        <w:rPr>
          <w:rFonts w:ascii="Times New Roman" w:hAnsi="Times New Roman"/>
        </w:rPr>
        <w:t xml:space="preserve"> </w:t>
      </w:r>
      <w:r w:rsidR="00C70BE2">
        <w:rPr>
          <w:rFonts w:ascii="Times New Roman" w:hAnsi="Times New Roman"/>
        </w:rPr>
        <w:t>Žr. išnašą Nr. 6;</w:t>
      </w:r>
    </w:p>
  </w:footnote>
  <w:footnote w:id="13">
    <w:p w14:paraId="24EF3B67" w14:textId="77777777" w:rsidR="00792160" w:rsidRPr="00D516D3" w:rsidRDefault="00792160" w:rsidP="00792160">
      <w:pPr>
        <w:pStyle w:val="FootnoteText"/>
        <w:jc w:val="both"/>
        <w:rPr>
          <w:rFonts w:ascii="Times New Roman" w:hAnsi="Times New Roman"/>
        </w:rPr>
      </w:pPr>
      <w:r w:rsidRPr="00D516D3">
        <w:rPr>
          <w:rStyle w:val="FootnoteReference"/>
          <w:rFonts w:ascii="Times New Roman" w:hAnsi="Times New Roman"/>
        </w:rPr>
        <w:footnoteRef/>
      </w:r>
      <w:r w:rsidRPr="00D516D3">
        <w:rPr>
          <w:rFonts w:ascii="Times New Roman" w:hAnsi="Times New Roman"/>
        </w:rPr>
        <w:t xml:space="preserve"> „Perkančiosios organizacijos nustatyti minimalūs kvalifikaciniai reikalavimai tiekėjams negali dirbtinai riboti konkurencijos, jie turi būti pagrįsti ir proporcingi pirkimo objektui, tikslūs ir aiškūs. &lt;...&gt;“;</w:t>
      </w:r>
    </w:p>
  </w:footnote>
  <w:footnote w:id="14">
    <w:p w14:paraId="08C6AF6B" w14:textId="77777777" w:rsidR="00792160" w:rsidRPr="00CC658E" w:rsidRDefault="00792160" w:rsidP="00792160">
      <w:pPr>
        <w:pStyle w:val="FootnoteText"/>
        <w:jc w:val="both"/>
        <w:rPr>
          <w:rFonts w:ascii="Times New Roman" w:hAnsi="Times New Roman"/>
        </w:rPr>
      </w:pPr>
      <w:r w:rsidRPr="00CC658E">
        <w:rPr>
          <w:rStyle w:val="FootnoteReference"/>
          <w:rFonts w:ascii="Times New Roman" w:hAnsi="Times New Roman"/>
        </w:rPr>
        <w:footnoteRef/>
      </w:r>
      <w:r w:rsidRPr="00CC658E">
        <w:rPr>
          <w:rFonts w:ascii="Times New Roman" w:hAnsi="Times New Roman"/>
        </w:rPr>
        <w:t xml:space="preserve"> Žr. išnašą Nr. 3;</w:t>
      </w:r>
    </w:p>
  </w:footnote>
  <w:footnote w:id="15">
    <w:p w14:paraId="49445CE9" w14:textId="77777777" w:rsidR="00792160" w:rsidRPr="000D7FCF" w:rsidRDefault="00792160" w:rsidP="00792160">
      <w:pPr>
        <w:pStyle w:val="FootnoteText"/>
        <w:jc w:val="both"/>
        <w:rPr>
          <w:rFonts w:ascii="Times New Roman" w:hAnsi="Times New Roman"/>
        </w:rPr>
      </w:pPr>
      <w:r w:rsidRPr="006D4378">
        <w:rPr>
          <w:rStyle w:val="FootnoteReference"/>
          <w:rFonts w:ascii="Times New Roman" w:hAnsi="Times New Roman"/>
        </w:rPr>
        <w:footnoteRef/>
      </w:r>
      <w:r w:rsidRPr="00B54724">
        <w:rPr>
          <w:rFonts w:ascii="Times New Roman" w:hAnsi="Times New Roman"/>
        </w:rPr>
        <w:t xml:space="preserve"> </w:t>
      </w:r>
      <w:r w:rsidR="00C70BE2" w:rsidRPr="00CC658E">
        <w:rPr>
          <w:rFonts w:ascii="Times New Roman" w:hAnsi="Times New Roman"/>
        </w:rPr>
        <w:t>Žr. išnašą Nr.</w:t>
      </w:r>
      <w:r w:rsidR="00C70BE2">
        <w:rPr>
          <w:rFonts w:ascii="Times New Roman" w:hAnsi="Times New Roman"/>
        </w:rPr>
        <w:t xml:space="preserve"> 2</w:t>
      </w:r>
      <w:r w:rsidRPr="000D7FCF">
        <w:rPr>
          <w:rFonts w:ascii="Times New Roman" w:hAnsi="Times New Roman"/>
        </w:rPr>
        <w:t>;</w:t>
      </w:r>
    </w:p>
  </w:footnote>
  <w:footnote w:id="16">
    <w:p w14:paraId="5EAD2398" w14:textId="77777777" w:rsidR="00792160" w:rsidRPr="000D7FCF" w:rsidRDefault="00792160" w:rsidP="00792160">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w:t>
      </w:r>
      <w:r w:rsidR="00C70BE2" w:rsidRPr="00CC658E">
        <w:rPr>
          <w:rFonts w:ascii="Times New Roman" w:hAnsi="Times New Roman"/>
        </w:rPr>
        <w:t>Žr. išnašą Nr.</w:t>
      </w:r>
      <w:r w:rsidR="00C70BE2">
        <w:rPr>
          <w:rFonts w:ascii="Times New Roman" w:hAnsi="Times New Roman"/>
        </w:rPr>
        <w:t xml:space="preserve"> 5;</w:t>
      </w:r>
    </w:p>
  </w:footnote>
  <w:footnote w:id="17">
    <w:p w14:paraId="333B6CF7" w14:textId="77777777" w:rsidR="00792160" w:rsidRPr="000D7FCF" w:rsidRDefault="00792160" w:rsidP="00792160">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w:t>
      </w:r>
      <w:r w:rsidR="00C70BE2" w:rsidRPr="00CC658E">
        <w:rPr>
          <w:rFonts w:ascii="Times New Roman" w:hAnsi="Times New Roman"/>
        </w:rPr>
        <w:t>Žr. išnašą Nr.</w:t>
      </w:r>
      <w:r w:rsidR="00C70BE2">
        <w:rPr>
          <w:rFonts w:ascii="Times New Roman" w:hAnsi="Times New Roman"/>
        </w:rPr>
        <w:t xml:space="preserve"> 6;</w:t>
      </w:r>
    </w:p>
  </w:footnote>
  <w:footnote w:id="18">
    <w:p w14:paraId="09D0050B" w14:textId="77777777" w:rsidR="00792160" w:rsidRPr="00D516D3" w:rsidRDefault="00792160" w:rsidP="00792160">
      <w:pPr>
        <w:pStyle w:val="FootnoteText"/>
        <w:jc w:val="both"/>
        <w:rPr>
          <w:rFonts w:ascii="Times New Roman" w:hAnsi="Times New Roman"/>
        </w:rPr>
      </w:pPr>
      <w:r w:rsidRPr="00D516D3">
        <w:rPr>
          <w:rStyle w:val="FootnoteReference"/>
          <w:rFonts w:ascii="Times New Roman" w:hAnsi="Times New Roman"/>
        </w:rPr>
        <w:footnoteRef/>
      </w:r>
      <w:r w:rsidRPr="00D516D3">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5;</w:t>
      </w:r>
    </w:p>
  </w:footnote>
  <w:footnote w:id="19">
    <w:p w14:paraId="0C5E2B26" w14:textId="77777777" w:rsidR="00792160" w:rsidRPr="00D516D3" w:rsidRDefault="00792160" w:rsidP="00792160">
      <w:pPr>
        <w:pStyle w:val="FootnoteText"/>
        <w:jc w:val="both"/>
        <w:rPr>
          <w:rFonts w:ascii="Times New Roman" w:hAnsi="Times New Roman"/>
        </w:rPr>
      </w:pPr>
      <w:r w:rsidRPr="00D516D3">
        <w:rPr>
          <w:rStyle w:val="FootnoteReference"/>
          <w:rFonts w:ascii="Times New Roman" w:hAnsi="Times New Roman"/>
        </w:rPr>
        <w:footnoteRef/>
      </w:r>
      <w:r w:rsidRPr="00D516D3">
        <w:rPr>
          <w:rFonts w:ascii="Times New Roman" w:hAnsi="Times New Roman"/>
        </w:rPr>
        <w:t xml:space="preserve"> „Perkančioji organizacija užtikrina, kad atliekant pirkimo procedūras ir nustatant laimėtoją būtų laikomasi lygiateisiškumo, nediskriminavimo, abipusio pripažinimo, proporcingumo ir skaidrumo principų“;</w:t>
      </w:r>
    </w:p>
  </w:footnote>
  <w:footnote w:id="20">
    <w:p w14:paraId="13AA1478" w14:textId="77777777" w:rsidR="00792160" w:rsidRPr="00D516D3" w:rsidRDefault="00792160" w:rsidP="00792160">
      <w:pPr>
        <w:pStyle w:val="FootnoteText"/>
        <w:jc w:val="both"/>
        <w:rPr>
          <w:rFonts w:ascii="Times New Roman" w:hAnsi="Times New Roman"/>
        </w:rPr>
      </w:pPr>
      <w:r w:rsidRPr="00D516D3">
        <w:rPr>
          <w:rStyle w:val="FootnoteReference"/>
          <w:rFonts w:ascii="Times New Roman" w:hAnsi="Times New Roman"/>
        </w:rPr>
        <w:footnoteRef/>
      </w:r>
      <w:r w:rsidRPr="00D516D3">
        <w:rPr>
          <w:rFonts w:ascii="Times New Roman" w:hAnsi="Times New Roman"/>
        </w:rPr>
        <w:t xml:space="preserve"> „tiekėjas gali remtis kitų ūkio subjektų pajėgumais, neatsižvelgdamas į tai, kokio teisinio pobūdžio būtų jo ryšiai“;</w:t>
      </w:r>
    </w:p>
  </w:footnote>
  <w:footnote w:id="21">
    <w:p w14:paraId="7EDFF3E4" w14:textId="77777777" w:rsidR="00EA285C" w:rsidRPr="008A165F" w:rsidRDefault="00EA285C" w:rsidP="00EA285C">
      <w:pPr>
        <w:pStyle w:val="FootnoteText"/>
        <w:jc w:val="both"/>
        <w:rPr>
          <w:rFonts w:ascii="Times New Roman" w:hAnsi="Times New Roman"/>
        </w:rPr>
      </w:pPr>
      <w:r w:rsidRPr="008A165F">
        <w:rPr>
          <w:rStyle w:val="FootnoteReference"/>
          <w:rFonts w:ascii="Times New Roman" w:hAnsi="Times New Roman"/>
        </w:rPr>
        <w:footnoteRef/>
      </w:r>
      <w:r w:rsidRPr="008A165F">
        <w:rPr>
          <w:rFonts w:ascii="Times New Roman" w:hAnsi="Times New Roman"/>
        </w:rPr>
        <w:t xml:space="preserve"> „Vokų su pasiūlymais, kuriuose yra techniniai pasiūlymo duomenys, atplėšimo procedūroje skelbiamas pasiūlymą pateikusio tiekėjo pavadinimas, pagrindinės techninės pasiūlymo charakteristikos  &lt;...&gt; Jeigu pageidauja nors vienas vokų su pasiūlymais atplėšimo procedūroje dalyvaujantis tiekėjas ar jo atstovas, turi būti paskelbtos visos pasiūlymų charakteristikos, į kurias bus atsižvelgta vertinant pasiūlymus“;</w:t>
      </w:r>
    </w:p>
  </w:footnote>
  <w:footnote w:id="22">
    <w:p w14:paraId="709C69C9" w14:textId="77777777" w:rsidR="00EA285C" w:rsidRPr="00C6613D" w:rsidRDefault="00EA285C" w:rsidP="00EA285C">
      <w:pPr>
        <w:pStyle w:val="FootnoteText"/>
        <w:jc w:val="both"/>
        <w:rPr>
          <w:rFonts w:ascii="Times New Roman" w:hAnsi="Times New Roman"/>
        </w:rPr>
      </w:pPr>
      <w:r w:rsidRPr="008A165F">
        <w:rPr>
          <w:rStyle w:val="FootnoteReference"/>
          <w:rFonts w:ascii="Times New Roman" w:hAnsi="Times New Roman"/>
        </w:rPr>
        <w:footnoteRef/>
      </w:r>
      <w:r w:rsidR="00E77937">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2;</w:t>
      </w:r>
    </w:p>
  </w:footnote>
  <w:footnote w:id="23">
    <w:p w14:paraId="3B933CE1" w14:textId="77777777" w:rsidR="0028274F" w:rsidRPr="00997798" w:rsidRDefault="0028274F" w:rsidP="00997798">
      <w:pPr>
        <w:pStyle w:val="FootnoteText"/>
        <w:jc w:val="both"/>
        <w:rPr>
          <w:rFonts w:ascii="Times New Roman" w:hAnsi="Times New Roman"/>
        </w:rPr>
      </w:pPr>
      <w:r w:rsidRPr="00997798">
        <w:rPr>
          <w:rStyle w:val="FootnoteReference"/>
          <w:rFonts w:ascii="Times New Roman" w:hAnsi="Times New Roman"/>
        </w:rPr>
        <w:footnoteRef/>
      </w:r>
      <w:r w:rsidRPr="00997798">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19;</w:t>
      </w:r>
    </w:p>
  </w:footnote>
  <w:footnote w:id="24">
    <w:p w14:paraId="1A935D21" w14:textId="77777777" w:rsidR="0028274F" w:rsidRDefault="0028274F" w:rsidP="00997798">
      <w:pPr>
        <w:pStyle w:val="FootnoteText"/>
        <w:jc w:val="both"/>
      </w:pPr>
      <w:r w:rsidRPr="00997798">
        <w:rPr>
          <w:rStyle w:val="FootnoteReference"/>
          <w:rFonts w:ascii="Times New Roman" w:hAnsi="Times New Roman"/>
        </w:rPr>
        <w:footnoteRef/>
      </w:r>
      <w:r w:rsidRPr="00997798">
        <w:rPr>
          <w:rFonts w:ascii="Times New Roman" w:hAnsi="Times New Roman"/>
        </w:rPr>
        <w:t xml:space="preserve"> </w:t>
      </w:r>
      <w:r w:rsidR="00997798" w:rsidRPr="00997798">
        <w:rPr>
          <w:rFonts w:ascii="Times New Roman" w:hAnsi="Times New Roman"/>
        </w:rPr>
        <w:t>„Pirkimų tikslas – vadovaujantis šio įstatymo reikalavimais sudaryti pirkimo sutartį, leidžiančią įsigyti perkančiajai organizacijai (atlikti pirkimą įgaliojusiai perkančiajai organizacijai) ar tretiesiems asmenims reikalingų prekių, paslaugų ar darbų, racionaliai naudojant tam skirtas lėšas“;</w:t>
      </w:r>
    </w:p>
  </w:footnote>
  <w:footnote w:id="25">
    <w:p w14:paraId="22688937" w14:textId="77777777" w:rsidR="00275A50" w:rsidRPr="003C6AB1" w:rsidRDefault="00275A50" w:rsidP="003C6AB1">
      <w:pPr>
        <w:spacing w:after="0" w:line="240" w:lineRule="auto"/>
        <w:jc w:val="both"/>
        <w:rPr>
          <w:rFonts w:ascii="Times New Roman" w:hAnsi="Times New Roman"/>
          <w:sz w:val="20"/>
          <w:szCs w:val="20"/>
        </w:rPr>
      </w:pPr>
      <w:r w:rsidRPr="003C6AB1">
        <w:rPr>
          <w:rStyle w:val="FootnoteReference"/>
          <w:rFonts w:ascii="Times New Roman" w:hAnsi="Times New Roman"/>
          <w:sz w:val="20"/>
          <w:szCs w:val="20"/>
        </w:rPr>
        <w:footnoteRef/>
      </w:r>
      <w:r w:rsidRPr="003C6AB1">
        <w:rPr>
          <w:rFonts w:ascii="Times New Roman" w:hAnsi="Times New Roman"/>
          <w:sz w:val="20"/>
          <w:szCs w:val="20"/>
        </w:rPr>
        <w:t xml:space="preserve"> „</w:t>
      </w:r>
      <w:r w:rsidRPr="003C6AB1">
        <w:rPr>
          <w:rFonts w:ascii="Times New Roman" w:eastAsia="Times New Roman" w:hAnsi="Times New Roman"/>
          <w:sz w:val="20"/>
          <w:szCs w:val="20"/>
          <w:lang w:eastAsia="lt-LT"/>
        </w:rPr>
        <w:t>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footnote>
  <w:footnote w:id="26">
    <w:p w14:paraId="1F64CEBC" w14:textId="77777777" w:rsidR="003C6AB1" w:rsidRPr="003C6AB1" w:rsidRDefault="003C6AB1" w:rsidP="003C6AB1">
      <w:pPr>
        <w:spacing w:after="0" w:line="240" w:lineRule="auto"/>
        <w:jc w:val="both"/>
        <w:rPr>
          <w:rFonts w:ascii="Times New Roman" w:hAnsi="Times New Roman"/>
          <w:sz w:val="20"/>
          <w:szCs w:val="20"/>
        </w:rPr>
      </w:pPr>
      <w:r w:rsidRPr="003C6AB1">
        <w:rPr>
          <w:rStyle w:val="FootnoteReference"/>
          <w:rFonts w:ascii="Times New Roman" w:hAnsi="Times New Roman"/>
          <w:sz w:val="20"/>
          <w:szCs w:val="20"/>
        </w:rPr>
        <w:footnoteRef/>
      </w:r>
      <w:r w:rsidRPr="003C6AB1">
        <w:rPr>
          <w:rFonts w:ascii="Times New Roman" w:hAnsi="Times New Roman"/>
          <w:sz w:val="20"/>
          <w:szCs w:val="20"/>
        </w:rPr>
        <w:t xml:space="preserve"> „</w:t>
      </w:r>
      <w:r w:rsidRPr="003C6AB1">
        <w:rPr>
          <w:rFonts w:ascii="Times New Roman" w:eastAsia="Times New Roman" w:hAnsi="Times New Roman"/>
          <w:sz w:val="20"/>
          <w:szCs w:val="20"/>
          <w:lang w:eastAsia="lt-LT"/>
        </w:rPr>
        <w:t>tikrina, ar pasiūlytos ne per didelės kainos“;</w:t>
      </w:r>
    </w:p>
  </w:footnote>
  <w:footnote w:id="27">
    <w:p w14:paraId="795BCE45" w14:textId="77777777" w:rsidR="004A2E0C" w:rsidRPr="003C6AB1" w:rsidRDefault="004A2E0C" w:rsidP="003C6AB1">
      <w:pPr>
        <w:pStyle w:val="FootnoteText"/>
        <w:jc w:val="both"/>
        <w:rPr>
          <w:rFonts w:ascii="Times New Roman" w:hAnsi="Times New Roman"/>
        </w:rPr>
      </w:pPr>
      <w:r w:rsidRPr="003C6AB1">
        <w:rPr>
          <w:rStyle w:val="FootnoteReference"/>
          <w:rFonts w:ascii="Times New Roman" w:hAnsi="Times New Roman"/>
        </w:rPr>
        <w:footnoteRef/>
      </w:r>
      <w:r w:rsidRPr="003C6AB1">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2;</w:t>
      </w:r>
    </w:p>
  </w:footnote>
  <w:footnote w:id="28">
    <w:p w14:paraId="52053450" w14:textId="77777777" w:rsidR="004A2E0C" w:rsidRPr="003C6AB1" w:rsidRDefault="004A2E0C" w:rsidP="003C6AB1">
      <w:pPr>
        <w:pStyle w:val="FootnoteText"/>
        <w:jc w:val="both"/>
        <w:rPr>
          <w:rFonts w:ascii="Times New Roman" w:hAnsi="Times New Roman"/>
        </w:rPr>
      </w:pPr>
      <w:r w:rsidRPr="003C6AB1">
        <w:rPr>
          <w:rStyle w:val="FootnoteReference"/>
          <w:rFonts w:ascii="Times New Roman" w:hAnsi="Times New Roman"/>
        </w:rPr>
        <w:footnoteRef/>
      </w:r>
      <w:r w:rsidRPr="003C6AB1">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3;</w:t>
      </w:r>
    </w:p>
  </w:footnote>
  <w:footnote w:id="29">
    <w:p w14:paraId="2CB4B5A8" w14:textId="77777777" w:rsidR="004A2E0C" w:rsidRPr="003C6AB1" w:rsidRDefault="004A2E0C" w:rsidP="003C6AB1">
      <w:pPr>
        <w:pStyle w:val="FootnoteText"/>
        <w:jc w:val="both"/>
        <w:rPr>
          <w:rFonts w:ascii="Times New Roman" w:hAnsi="Times New Roman"/>
        </w:rPr>
      </w:pPr>
      <w:r w:rsidRPr="003C6AB1">
        <w:rPr>
          <w:rStyle w:val="FootnoteReference"/>
          <w:rFonts w:ascii="Times New Roman" w:hAnsi="Times New Roman"/>
        </w:rPr>
        <w:footnoteRef/>
      </w:r>
      <w:r w:rsidRPr="003C6AB1">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2;</w:t>
      </w:r>
    </w:p>
  </w:footnote>
  <w:footnote w:id="30">
    <w:p w14:paraId="2BA9CAA5" w14:textId="77777777" w:rsidR="004A2E0C" w:rsidRPr="003C6AB1" w:rsidRDefault="004A2E0C" w:rsidP="003C6AB1">
      <w:pPr>
        <w:pStyle w:val="FootnoteText"/>
        <w:jc w:val="both"/>
        <w:rPr>
          <w:rFonts w:ascii="Times New Roman" w:hAnsi="Times New Roman"/>
        </w:rPr>
      </w:pPr>
      <w:r w:rsidRPr="003C6AB1">
        <w:rPr>
          <w:rStyle w:val="FootnoteReference"/>
          <w:rFonts w:ascii="Times New Roman" w:hAnsi="Times New Roman"/>
        </w:rPr>
        <w:footnoteRef/>
      </w:r>
      <w:r w:rsidRPr="003C6AB1">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5;</w:t>
      </w:r>
    </w:p>
  </w:footnote>
  <w:footnote w:id="31">
    <w:p w14:paraId="2BCFE2E6" w14:textId="77777777" w:rsidR="004A2E0C" w:rsidRPr="00053395" w:rsidRDefault="004A2E0C" w:rsidP="003C6AB1">
      <w:pPr>
        <w:pStyle w:val="FootnoteText"/>
        <w:jc w:val="both"/>
        <w:rPr>
          <w:rFonts w:ascii="Times New Roman" w:hAnsi="Times New Roman"/>
        </w:rPr>
      </w:pPr>
      <w:r w:rsidRPr="003C6AB1">
        <w:rPr>
          <w:rStyle w:val="FootnoteReference"/>
          <w:rFonts w:ascii="Times New Roman" w:hAnsi="Times New Roman"/>
        </w:rPr>
        <w:footnoteRef/>
      </w:r>
      <w:r w:rsidRPr="003C6AB1">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6;</w:t>
      </w:r>
    </w:p>
  </w:footnote>
  <w:footnote w:id="32">
    <w:p w14:paraId="61406BEB" w14:textId="77777777" w:rsidR="007C7A86" w:rsidRDefault="007C7A86" w:rsidP="007C7A86">
      <w:pPr>
        <w:pStyle w:val="FootnoteText"/>
        <w:jc w:val="both"/>
      </w:pPr>
      <w:r w:rsidRPr="00FE08EC">
        <w:rPr>
          <w:rStyle w:val="FootnoteReference"/>
          <w:rFonts w:ascii="Times New Roman" w:hAnsi="Times New Roman"/>
        </w:rPr>
        <w:footnoteRef/>
      </w:r>
      <w:r w:rsidRPr="00FE08EC">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24;</w:t>
      </w:r>
    </w:p>
  </w:footnote>
  <w:footnote w:id="33">
    <w:p w14:paraId="7F78F274" w14:textId="77777777" w:rsidR="003E6518" w:rsidRPr="003E6518" w:rsidRDefault="003E6518" w:rsidP="003E6518">
      <w:pPr>
        <w:pStyle w:val="FootnoteText"/>
        <w:jc w:val="both"/>
        <w:rPr>
          <w:rFonts w:ascii="Times New Roman" w:hAnsi="Times New Roman"/>
        </w:rPr>
      </w:pPr>
      <w:r w:rsidRPr="003E6518">
        <w:rPr>
          <w:rStyle w:val="FootnoteReference"/>
          <w:rFonts w:ascii="Times New Roman" w:hAnsi="Times New Roman"/>
        </w:rPr>
        <w:footnoteRef/>
      </w:r>
      <w:r w:rsidRPr="003E6518">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1;</w:t>
      </w:r>
    </w:p>
  </w:footnote>
  <w:footnote w:id="34">
    <w:p w14:paraId="5DFA5568" w14:textId="77777777" w:rsidR="003E6518" w:rsidRDefault="003E6518" w:rsidP="00C7523F">
      <w:pPr>
        <w:pStyle w:val="FootnoteText"/>
        <w:jc w:val="both"/>
      </w:pPr>
      <w:r>
        <w:rPr>
          <w:rStyle w:val="FootnoteReference"/>
        </w:rPr>
        <w:footnoteRef/>
      </w:r>
      <w:r>
        <w:t xml:space="preserve"> </w:t>
      </w:r>
      <w:r w:rsidR="00E77937" w:rsidRPr="00CC658E">
        <w:rPr>
          <w:rFonts w:ascii="Times New Roman" w:hAnsi="Times New Roman"/>
        </w:rPr>
        <w:t>Žr. išnašą Nr.</w:t>
      </w:r>
      <w:r w:rsidR="00E77937">
        <w:rPr>
          <w:rFonts w:ascii="Times New Roman" w:hAnsi="Times New Roman"/>
        </w:rPr>
        <w:t xml:space="preserve"> 2;</w:t>
      </w:r>
    </w:p>
  </w:footnote>
  <w:footnote w:id="35">
    <w:p w14:paraId="67AB6DFD" w14:textId="77777777" w:rsidR="00310BF2" w:rsidRPr="00CC658E" w:rsidRDefault="00310BF2" w:rsidP="00310BF2">
      <w:pPr>
        <w:pStyle w:val="FootnoteText"/>
        <w:jc w:val="both"/>
        <w:rPr>
          <w:rFonts w:ascii="Times New Roman" w:hAnsi="Times New Roman"/>
        </w:rPr>
      </w:pPr>
      <w:r w:rsidRPr="00D516D3">
        <w:rPr>
          <w:rStyle w:val="FootnoteReference"/>
          <w:rFonts w:ascii="Times New Roman" w:hAnsi="Times New Roman"/>
        </w:rPr>
        <w:footnoteRef/>
      </w:r>
      <w:r w:rsidRPr="00D516D3">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3;</w:t>
      </w:r>
    </w:p>
  </w:footnote>
  <w:footnote w:id="36">
    <w:p w14:paraId="36A782BD" w14:textId="77777777" w:rsidR="00310BF2" w:rsidRPr="00CC658E" w:rsidRDefault="00310BF2" w:rsidP="00310BF2">
      <w:pPr>
        <w:pStyle w:val="FootnoteText"/>
        <w:jc w:val="both"/>
        <w:rPr>
          <w:rFonts w:ascii="Times New Roman" w:hAnsi="Times New Roman"/>
        </w:rPr>
      </w:pPr>
      <w:r w:rsidRPr="00CC658E">
        <w:rPr>
          <w:rStyle w:val="FootnoteReference"/>
          <w:rFonts w:ascii="Times New Roman" w:hAnsi="Times New Roman"/>
        </w:rPr>
        <w:footnoteRef/>
      </w:r>
      <w:r w:rsidRPr="00CC658E">
        <w:rPr>
          <w:rFonts w:ascii="Times New Roman" w:hAnsi="Times New Roman"/>
        </w:rPr>
        <w:t xml:space="preserve"> „Perkančioji organizacija privalo išsiaiškinti, ar tiekėjas yra kompetentingas, patikimas ir pajėgus įvykdyti pirkimo sąlygas &lt;...&gt;“;</w:t>
      </w:r>
    </w:p>
  </w:footnote>
  <w:footnote w:id="37">
    <w:p w14:paraId="534F61DA" w14:textId="77777777" w:rsidR="00310BF2" w:rsidRPr="00CC658E" w:rsidRDefault="00310BF2" w:rsidP="00310BF2">
      <w:pPr>
        <w:pStyle w:val="FootnoteText"/>
        <w:jc w:val="both"/>
        <w:rPr>
          <w:rFonts w:ascii="Times New Roman" w:hAnsi="Times New Roman"/>
        </w:rPr>
      </w:pPr>
      <w:r w:rsidRPr="00CC658E">
        <w:rPr>
          <w:rStyle w:val="FootnoteReference"/>
          <w:rFonts w:ascii="Times New Roman" w:hAnsi="Times New Roman"/>
        </w:rPr>
        <w:footnoteRef/>
      </w:r>
      <w:r w:rsidRPr="00CC658E">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2;</w:t>
      </w:r>
    </w:p>
  </w:footnote>
  <w:footnote w:id="38">
    <w:p w14:paraId="2769D631" w14:textId="77777777" w:rsidR="00310BF2" w:rsidRPr="006D4378" w:rsidRDefault="00310BF2" w:rsidP="00310BF2">
      <w:pPr>
        <w:pStyle w:val="FootnoteText"/>
        <w:jc w:val="both"/>
        <w:rPr>
          <w:rFonts w:ascii="Times New Roman" w:hAnsi="Times New Roman"/>
        </w:rPr>
      </w:pPr>
      <w:r w:rsidRPr="00CC658E">
        <w:rPr>
          <w:rStyle w:val="FootnoteReference"/>
          <w:rFonts w:ascii="Times New Roman" w:hAnsi="Times New Roman"/>
        </w:rPr>
        <w:footnoteRef/>
      </w:r>
      <w:r w:rsidRPr="00CC658E">
        <w:rPr>
          <w:rFonts w:ascii="Times New Roman" w:hAnsi="Times New Roman"/>
        </w:rPr>
        <w:t xml:space="preserve"> </w:t>
      </w:r>
      <w:r w:rsidR="00E77937" w:rsidRPr="00CC658E">
        <w:rPr>
          <w:rFonts w:ascii="Times New Roman" w:hAnsi="Times New Roman"/>
        </w:rPr>
        <w:t>Žr. išnašą Nr.</w:t>
      </w:r>
      <w:r w:rsidR="00E77937">
        <w:rPr>
          <w:rFonts w:ascii="Times New Roman" w:hAnsi="Times New Roman"/>
        </w:rPr>
        <w:t xml:space="preserve"> 5;</w:t>
      </w:r>
    </w:p>
  </w:footnote>
  <w:footnote w:id="39">
    <w:p w14:paraId="224AE228" w14:textId="77777777" w:rsidR="00310BF2" w:rsidRPr="000D7FCF" w:rsidRDefault="00310BF2" w:rsidP="00310BF2">
      <w:pPr>
        <w:pStyle w:val="FootnoteText"/>
        <w:jc w:val="both"/>
        <w:rPr>
          <w:rFonts w:ascii="Times New Roman" w:hAnsi="Times New Roman"/>
        </w:rPr>
      </w:pPr>
      <w:r w:rsidRPr="00B54724">
        <w:rPr>
          <w:rStyle w:val="FootnoteReference"/>
          <w:rFonts w:ascii="Times New Roman" w:hAnsi="Times New Roman"/>
        </w:rPr>
        <w:footnoteRef/>
      </w:r>
      <w:r w:rsidRPr="000D7FCF">
        <w:rPr>
          <w:rFonts w:ascii="Times New Roman" w:hAnsi="Times New Roman"/>
        </w:rPr>
        <w:t xml:space="preserve"> „Darbai – darbai, kuriuos pagal Sutartį privalo atlikti Rangovas, t. y. Raseinių miesto Vilniaus gatvės rekonstravimo darbai – Drenažas; Lauko paviršiniai nuotekų tinklai; Apšvietimo rekonstravimas; Dviračių ir pėsčiųjų takų įrengimas; Šviesoforų įrengimas (kartu su inžineriniais tinklais) (Techniniame darbo projekte numatytas I statybos darbų etapas), atliekamų Darbų darbo projektinės dokumentacijos parengimas“;</w:t>
      </w:r>
    </w:p>
  </w:footnote>
  <w:footnote w:id="40">
    <w:p w14:paraId="2DD2CF88" w14:textId="77777777" w:rsidR="00310BF2" w:rsidRPr="000D7FCF" w:rsidRDefault="00310BF2" w:rsidP="00310BF2">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„Šia Sutartimi Rangovas įsipareigoja per Sutartyje nustatytą Darbų atlikimo terminą ir Sutartyje nustatytomis sąlygomis atlikti ir perduoti Darbus, parengti atliekamų Darbų darbo projektinę dokumentaciją bei ištaisyti defektus &lt;...&gt;“;</w:t>
      </w:r>
    </w:p>
  </w:footnote>
  <w:footnote w:id="41">
    <w:p w14:paraId="0B705453" w14:textId="77777777" w:rsidR="00310BF2" w:rsidRPr="000D7FCF" w:rsidRDefault="00310BF2" w:rsidP="00310BF2">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„Rangovas privalo &lt;...&gt; parengti atliekamų Darbų darbo projektinę dokumentaciją per Sutarties 6.1 punkte nurodytą terminą &lt;...&gt;“;</w:t>
      </w:r>
    </w:p>
  </w:footnote>
  <w:footnote w:id="42">
    <w:p w14:paraId="6F5FA54E" w14:textId="77777777" w:rsidR="00310BF2" w:rsidRPr="000D7FCF" w:rsidRDefault="00310BF2" w:rsidP="00310BF2">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„Rangovas įsipareigoja teisės aktų nustatyta tvarka suderinti Techninio darbo projekto patikslinimus (jei tokių bus)“;</w:t>
      </w:r>
    </w:p>
  </w:footnote>
  <w:footnote w:id="43">
    <w:p w14:paraId="4355812B" w14:textId="77777777" w:rsidR="00310BF2" w:rsidRPr="000D7FCF" w:rsidRDefault="00310BF2" w:rsidP="00310BF2">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„Rangovas iki Darbų pradžios privalo pateikti Užsakovui įrodymą, kad Rangovas ir jo projektuotojai yra apdraudę savo civilinę atsakomybę ir pateikti draudimo liudijimų (polisų) tinkamai patvirtintas kopijas.“;</w:t>
      </w:r>
    </w:p>
  </w:footnote>
  <w:footnote w:id="44">
    <w:p w14:paraId="424934C0" w14:textId="77777777" w:rsidR="00310BF2" w:rsidRPr="000D7FCF" w:rsidRDefault="00310BF2" w:rsidP="00310BF2">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w:t>
      </w:r>
      <w:r w:rsidRPr="000D7FCF">
        <w:rPr>
          <w:rFonts w:ascii="Times New Roman" w:hAnsi="Times New Roman"/>
          <w:szCs w:val="24"/>
        </w:rPr>
        <w:t>Vadovaudamasis Sutartyje nustatytomis sąlygomis ir tvarka, Rangovas įsipareigoja pagal Užsakovo pateiktą &lt;...&gt; rekonstravimo techninį darbo projektą &lt;...&gt;atlikti darbus bei parengti vykdomų darbų darbo projektinę dokumentaciją &lt;...&gt;“;</w:t>
      </w:r>
    </w:p>
  </w:footnote>
  <w:footnote w:id="45">
    <w:p w14:paraId="0D797355" w14:textId="77777777" w:rsidR="00310BF2" w:rsidRPr="000D7FCF" w:rsidRDefault="00310BF2" w:rsidP="00310BF2">
      <w:pPr>
        <w:pStyle w:val="FootnoteText"/>
        <w:jc w:val="both"/>
        <w:rPr>
          <w:rFonts w:ascii="Times New Roman" w:hAnsi="Times New Roman"/>
        </w:rPr>
      </w:pPr>
      <w:r w:rsidRPr="000D7FCF">
        <w:rPr>
          <w:rStyle w:val="FootnoteReference"/>
          <w:rFonts w:ascii="Times New Roman" w:hAnsi="Times New Roman"/>
        </w:rPr>
        <w:footnoteRef/>
      </w:r>
      <w:r w:rsidRPr="000D7FCF">
        <w:rPr>
          <w:rFonts w:ascii="Times New Roman" w:hAnsi="Times New Roman"/>
        </w:rPr>
        <w:t xml:space="preserve"> „</w:t>
      </w:r>
      <w:r w:rsidRPr="000D7FCF">
        <w:rPr>
          <w:rFonts w:ascii="Times New Roman" w:hAnsi="Times New Roman"/>
          <w:szCs w:val="24"/>
        </w:rPr>
        <w:t>Rangovas, raštu suderinęs privalomojo draudimo sutarties sąlygas, privalo per 10 (dešimt) darbo dienų po Sutarties pasirašymo dienos savo sąskaita pateikti statinio projektuotojo civilinės atsakomybės privalomąjį draudimą &lt;...&gt;“;</w:t>
      </w:r>
    </w:p>
  </w:footnote>
  <w:footnote w:id="46">
    <w:p w14:paraId="074A4598" w14:textId="77777777" w:rsidR="00310BF2" w:rsidRPr="00D516D3" w:rsidRDefault="00310BF2" w:rsidP="00D516D3">
      <w:pPr>
        <w:pStyle w:val="FootnoteText"/>
        <w:jc w:val="both"/>
        <w:rPr>
          <w:rFonts w:ascii="Times New Roman" w:hAnsi="Times New Roman"/>
        </w:rPr>
      </w:pPr>
      <w:r w:rsidRPr="00D516D3">
        <w:rPr>
          <w:rStyle w:val="FootnoteReference"/>
          <w:rFonts w:ascii="Times New Roman" w:hAnsi="Times New Roman"/>
        </w:rPr>
        <w:footnoteRef/>
      </w:r>
      <w:r w:rsidRPr="00D516D3">
        <w:rPr>
          <w:rFonts w:ascii="Times New Roman" w:hAnsi="Times New Roman"/>
        </w:rPr>
        <w:t xml:space="preserve"> „Perkančioji organizacija privalo išsiaiškinti, ar tiekėjas yra kompetentingas, patikimas ir pajėgus įvykdyti pirkimo sąlygas &lt;...&gt;“;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50B3" w14:textId="77777777" w:rsidR="00EB3342" w:rsidRPr="00EB3342" w:rsidRDefault="00EB3342">
    <w:pPr>
      <w:pStyle w:val="Header"/>
      <w:jc w:val="center"/>
      <w:rPr>
        <w:rFonts w:ascii="Times New Roman" w:hAnsi="Times New Roman"/>
        <w:sz w:val="24"/>
        <w:szCs w:val="24"/>
      </w:rPr>
    </w:pPr>
    <w:r w:rsidRPr="00EB3342">
      <w:rPr>
        <w:rFonts w:ascii="Times New Roman" w:hAnsi="Times New Roman"/>
        <w:sz w:val="24"/>
        <w:szCs w:val="24"/>
      </w:rPr>
      <w:fldChar w:fldCharType="begin"/>
    </w:r>
    <w:r w:rsidRPr="00EB3342">
      <w:rPr>
        <w:rFonts w:ascii="Times New Roman" w:hAnsi="Times New Roman"/>
        <w:sz w:val="24"/>
        <w:szCs w:val="24"/>
      </w:rPr>
      <w:instrText>PAGE   \* MERGEFORMAT</w:instrText>
    </w:r>
    <w:r w:rsidRPr="00EB3342">
      <w:rPr>
        <w:rFonts w:ascii="Times New Roman" w:hAnsi="Times New Roman"/>
        <w:sz w:val="24"/>
        <w:szCs w:val="24"/>
      </w:rPr>
      <w:fldChar w:fldCharType="separate"/>
    </w:r>
    <w:r w:rsidR="005B7A0A">
      <w:rPr>
        <w:rFonts w:ascii="Times New Roman" w:hAnsi="Times New Roman"/>
        <w:noProof/>
        <w:sz w:val="24"/>
        <w:szCs w:val="24"/>
      </w:rPr>
      <w:t>2</w:t>
    </w:r>
    <w:r w:rsidRPr="00EB3342">
      <w:rPr>
        <w:rFonts w:ascii="Times New Roman" w:hAnsi="Times New Roman"/>
        <w:sz w:val="24"/>
        <w:szCs w:val="24"/>
      </w:rPr>
      <w:fldChar w:fldCharType="end"/>
    </w:r>
  </w:p>
  <w:p w14:paraId="5B479E72" w14:textId="77777777" w:rsidR="00DC6B32" w:rsidRDefault="00DC6B32" w:rsidP="00DC6B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32F6"/>
    <w:multiLevelType w:val="hybridMultilevel"/>
    <w:tmpl w:val="CD12DAFC"/>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1F07D29"/>
    <w:multiLevelType w:val="hybridMultilevel"/>
    <w:tmpl w:val="7DD86E6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9757E"/>
    <w:multiLevelType w:val="hybridMultilevel"/>
    <w:tmpl w:val="8AEC120A"/>
    <w:lvl w:ilvl="0" w:tplc="611CCF7C">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06E22FE3"/>
    <w:multiLevelType w:val="hybridMultilevel"/>
    <w:tmpl w:val="100AC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F23081"/>
    <w:multiLevelType w:val="hybridMultilevel"/>
    <w:tmpl w:val="EC60B92E"/>
    <w:lvl w:ilvl="0" w:tplc="611CCF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7AF05A1"/>
    <w:multiLevelType w:val="multilevel"/>
    <w:tmpl w:val="56D460A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
    <w:nsid w:val="09C57DEB"/>
    <w:multiLevelType w:val="hybridMultilevel"/>
    <w:tmpl w:val="FA8A31A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0CC6383E"/>
    <w:multiLevelType w:val="hybridMultilevel"/>
    <w:tmpl w:val="C04E0D3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nsid w:val="16642FFD"/>
    <w:multiLevelType w:val="multilevel"/>
    <w:tmpl w:val="149AA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B92C19"/>
    <w:multiLevelType w:val="hybridMultilevel"/>
    <w:tmpl w:val="53B828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911690C"/>
    <w:multiLevelType w:val="hybridMultilevel"/>
    <w:tmpl w:val="1608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06D1C"/>
    <w:multiLevelType w:val="hybridMultilevel"/>
    <w:tmpl w:val="3B58FC44"/>
    <w:lvl w:ilvl="0" w:tplc="A6129818">
      <w:start w:val="1"/>
      <w:numFmt w:val="bullet"/>
      <w:lvlText w:val=""/>
      <w:lvlJc w:val="left"/>
      <w:pPr>
        <w:ind w:left="720" w:hanging="360"/>
      </w:pPr>
      <w:rPr>
        <w:rFonts w:ascii="Symbol" w:hAnsi="Symbol" w:hint="default"/>
        <w:strike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99B139E"/>
    <w:multiLevelType w:val="hybridMultilevel"/>
    <w:tmpl w:val="2DFC7E78"/>
    <w:lvl w:ilvl="0" w:tplc="D5EEC24A">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C4254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940C7"/>
    <w:multiLevelType w:val="hybridMultilevel"/>
    <w:tmpl w:val="940AAA38"/>
    <w:lvl w:ilvl="0" w:tplc="74EAB3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02B536F"/>
    <w:multiLevelType w:val="multilevel"/>
    <w:tmpl w:val="4D647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EB2F67"/>
    <w:multiLevelType w:val="multilevel"/>
    <w:tmpl w:val="F1BE9CE4"/>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773F18"/>
    <w:multiLevelType w:val="hybridMultilevel"/>
    <w:tmpl w:val="6602F586"/>
    <w:lvl w:ilvl="0" w:tplc="611CCF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5EA2172"/>
    <w:multiLevelType w:val="hybridMultilevel"/>
    <w:tmpl w:val="0ADAC1E8"/>
    <w:lvl w:ilvl="0" w:tplc="F44C96BA">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D4C5755"/>
    <w:multiLevelType w:val="hybridMultilevel"/>
    <w:tmpl w:val="62BC533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nsid w:val="3E04617F"/>
    <w:multiLevelType w:val="hybridMultilevel"/>
    <w:tmpl w:val="16087F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102394"/>
    <w:multiLevelType w:val="hybridMultilevel"/>
    <w:tmpl w:val="1608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20448"/>
    <w:multiLevelType w:val="hybridMultilevel"/>
    <w:tmpl w:val="BC28D57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7654286"/>
    <w:multiLevelType w:val="hybridMultilevel"/>
    <w:tmpl w:val="A0489A00"/>
    <w:lvl w:ilvl="0" w:tplc="611CCF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9446BC6"/>
    <w:multiLevelType w:val="hybridMultilevel"/>
    <w:tmpl w:val="8F54EEDC"/>
    <w:lvl w:ilvl="0" w:tplc="E6AC1046">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5">
    <w:nsid w:val="4AFB502A"/>
    <w:multiLevelType w:val="multilevel"/>
    <w:tmpl w:val="2D7412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BE71456"/>
    <w:multiLevelType w:val="hybridMultilevel"/>
    <w:tmpl w:val="03D8BD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CF648ED"/>
    <w:multiLevelType w:val="multilevel"/>
    <w:tmpl w:val="C1BCE86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color w:val="auto"/>
        <w:sz w:val="24"/>
      </w:rPr>
    </w:lvl>
    <w:lvl w:ilvl="2">
      <w:start w:val="1"/>
      <w:numFmt w:val="decimal"/>
      <w:isLgl/>
      <w:lvlText w:val="%1.%2.%3."/>
      <w:lvlJc w:val="left"/>
      <w:pPr>
        <w:ind w:left="1571" w:hanging="720"/>
      </w:pPr>
      <w:rPr>
        <w:rFonts w:hint="default"/>
        <w:color w:val="auto"/>
        <w:sz w:val="24"/>
      </w:rPr>
    </w:lvl>
    <w:lvl w:ilvl="3">
      <w:start w:val="1"/>
      <w:numFmt w:val="decimal"/>
      <w:isLgl/>
      <w:lvlText w:val="%1.%2.%3.%4."/>
      <w:lvlJc w:val="left"/>
      <w:pPr>
        <w:ind w:left="1571" w:hanging="720"/>
      </w:pPr>
      <w:rPr>
        <w:rFonts w:hint="default"/>
        <w:color w:val="auto"/>
        <w:sz w:val="24"/>
      </w:rPr>
    </w:lvl>
    <w:lvl w:ilvl="4">
      <w:start w:val="1"/>
      <w:numFmt w:val="decimal"/>
      <w:isLgl/>
      <w:lvlText w:val="%1.%2.%3.%4.%5."/>
      <w:lvlJc w:val="left"/>
      <w:pPr>
        <w:ind w:left="1931" w:hanging="1080"/>
      </w:pPr>
      <w:rPr>
        <w:rFonts w:hint="default"/>
        <w:color w:val="auto"/>
        <w:sz w:val="24"/>
      </w:rPr>
    </w:lvl>
    <w:lvl w:ilvl="5">
      <w:start w:val="1"/>
      <w:numFmt w:val="decimal"/>
      <w:isLgl/>
      <w:lvlText w:val="%1.%2.%3.%4.%5.%6."/>
      <w:lvlJc w:val="left"/>
      <w:pPr>
        <w:ind w:left="1931" w:hanging="1080"/>
      </w:pPr>
      <w:rPr>
        <w:rFonts w:hint="default"/>
        <w:color w:val="auto"/>
        <w:sz w:val="24"/>
      </w:rPr>
    </w:lvl>
    <w:lvl w:ilvl="6">
      <w:start w:val="1"/>
      <w:numFmt w:val="decimal"/>
      <w:isLgl/>
      <w:lvlText w:val="%1.%2.%3.%4.%5.%6.%7."/>
      <w:lvlJc w:val="left"/>
      <w:pPr>
        <w:ind w:left="1931" w:hanging="1080"/>
      </w:pPr>
      <w:rPr>
        <w:rFonts w:hint="default"/>
        <w:color w:val="auto"/>
        <w:sz w:val="24"/>
      </w:rPr>
    </w:lvl>
    <w:lvl w:ilvl="7">
      <w:start w:val="1"/>
      <w:numFmt w:val="decimal"/>
      <w:isLgl/>
      <w:lvlText w:val="%1.%2.%3.%4.%5.%6.%7.%8."/>
      <w:lvlJc w:val="left"/>
      <w:pPr>
        <w:ind w:left="2291" w:hanging="1440"/>
      </w:pPr>
      <w:rPr>
        <w:rFonts w:hint="default"/>
        <w:color w:val="auto"/>
        <w:sz w:val="24"/>
      </w:rPr>
    </w:lvl>
    <w:lvl w:ilvl="8">
      <w:start w:val="1"/>
      <w:numFmt w:val="decimal"/>
      <w:isLgl/>
      <w:lvlText w:val="%1.%2.%3.%4.%5.%6.%7.%8.%9."/>
      <w:lvlJc w:val="left"/>
      <w:pPr>
        <w:ind w:left="2291" w:hanging="1440"/>
      </w:pPr>
      <w:rPr>
        <w:rFonts w:hint="default"/>
        <w:color w:val="auto"/>
        <w:sz w:val="24"/>
      </w:rPr>
    </w:lvl>
  </w:abstractNum>
  <w:abstractNum w:abstractNumId="28">
    <w:nsid w:val="4DB31D7D"/>
    <w:multiLevelType w:val="multilevel"/>
    <w:tmpl w:val="170C965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4F385934"/>
    <w:multiLevelType w:val="hybridMultilevel"/>
    <w:tmpl w:val="8EB8B9B6"/>
    <w:lvl w:ilvl="0" w:tplc="F13AF560">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nsid w:val="4FE9628E"/>
    <w:multiLevelType w:val="hybridMultilevel"/>
    <w:tmpl w:val="E0187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F28398A"/>
    <w:multiLevelType w:val="multilevel"/>
    <w:tmpl w:val="46941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CA7C4A"/>
    <w:multiLevelType w:val="multilevel"/>
    <w:tmpl w:val="C890B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157E89"/>
    <w:multiLevelType w:val="multilevel"/>
    <w:tmpl w:val="596E68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9718D6"/>
    <w:multiLevelType w:val="multilevel"/>
    <w:tmpl w:val="ADC28028"/>
    <w:lvl w:ilvl="0">
      <w:start w:val="1"/>
      <w:numFmt w:val="decimal"/>
      <w:lvlText w:val="%1."/>
      <w:lvlJc w:val="left"/>
      <w:pPr>
        <w:ind w:left="1429" w:hanging="360"/>
      </w:pPr>
      <w:rPr>
        <w:sz w:val="24"/>
        <w:szCs w:val="24"/>
      </w:rPr>
    </w:lvl>
    <w:lvl w:ilvl="1">
      <w:start w:val="1"/>
      <w:numFmt w:val="decimal"/>
      <w:isLgl/>
      <w:lvlText w:val="%1.%2."/>
      <w:lvlJc w:val="left"/>
      <w:pPr>
        <w:ind w:left="2487"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5">
    <w:nsid w:val="6D9543FF"/>
    <w:multiLevelType w:val="hybridMultilevel"/>
    <w:tmpl w:val="7DD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D7EB8"/>
    <w:multiLevelType w:val="hybridMultilevel"/>
    <w:tmpl w:val="6E1207BC"/>
    <w:lvl w:ilvl="0" w:tplc="611CCF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3875859"/>
    <w:multiLevelType w:val="multilevel"/>
    <w:tmpl w:val="405C5ED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706827"/>
    <w:multiLevelType w:val="hybridMultilevel"/>
    <w:tmpl w:val="30F228E2"/>
    <w:lvl w:ilvl="0" w:tplc="368AD3F0">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3E0723"/>
    <w:multiLevelType w:val="multilevel"/>
    <w:tmpl w:val="067AB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E6E129B"/>
    <w:multiLevelType w:val="hybridMultilevel"/>
    <w:tmpl w:val="D0D4F868"/>
    <w:lvl w:ilvl="0" w:tplc="611CCF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25"/>
  </w:num>
  <w:num w:numId="4">
    <w:abstractNumId w:val="32"/>
  </w:num>
  <w:num w:numId="5">
    <w:abstractNumId w:val="38"/>
  </w:num>
  <w:num w:numId="6">
    <w:abstractNumId w:val="5"/>
  </w:num>
  <w:num w:numId="7">
    <w:abstractNumId w:val="15"/>
  </w:num>
  <w:num w:numId="8">
    <w:abstractNumId w:val="31"/>
  </w:num>
  <w:num w:numId="9">
    <w:abstractNumId w:val="9"/>
  </w:num>
  <w:num w:numId="10">
    <w:abstractNumId w:val="26"/>
  </w:num>
  <w:num w:numId="11">
    <w:abstractNumId w:val="3"/>
  </w:num>
  <w:num w:numId="12">
    <w:abstractNumId w:val="22"/>
  </w:num>
  <w:num w:numId="13">
    <w:abstractNumId w:val="27"/>
  </w:num>
  <w:num w:numId="14">
    <w:abstractNumId w:val="6"/>
  </w:num>
  <w:num w:numId="15">
    <w:abstractNumId w:val="13"/>
  </w:num>
  <w:num w:numId="16">
    <w:abstractNumId w:val="30"/>
  </w:num>
  <w:num w:numId="17">
    <w:abstractNumId w:val="29"/>
  </w:num>
  <w:num w:numId="18">
    <w:abstractNumId w:val="35"/>
  </w:num>
  <w:num w:numId="19">
    <w:abstractNumId w:val="21"/>
  </w:num>
  <w:num w:numId="20">
    <w:abstractNumId w:val="20"/>
  </w:num>
  <w:num w:numId="21">
    <w:abstractNumId w:val="10"/>
  </w:num>
  <w:num w:numId="22">
    <w:abstractNumId w:val="1"/>
  </w:num>
  <w:num w:numId="23">
    <w:abstractNumId w:val="12"/>
  </w:num>
  <w:num w:numId="24">
    <w:abstractNumId w:val="40"/>
  </w:num>
  <w:num w:numId="25">
    <w:abstractNumId w:val="0"/>
  </w:num>
  <w:num w:numId="26">
    <w:abstractNumId w:val="16"/>
  </w:num>
  <w:num w:numId="27">
    <w:abstractNumId w:val="36"/>
  </w:num>
  <w:num w:numId="28">
    <w:abstractNumId w:val="19"/>
  </w:num>
  <w:num w:numId="29">
    <w:abstractNumId w:val="17"/>
  </w:num>
  <w:num w:numId="30">
    <w:abstractNumId w:val="23"/>
  </w:num>
  <w:num w:numId="31">
    <w:abstractNumId w:val="4"/>
  </w:num>
  <w:num w:numId="32">
    <w:abstractNumId w:val="2"/>
  </w:num>
  <w:num w:numId="33">
    <w:abstractNumId w:val="7"/>
  </w:num>
  <w:num w:numId="34">
    <w:abstractNumId w:val="24"/>
  </w:num>
  <w:num w:numId="35">
    <w:abstractNumId w:val="1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3"/>
  </w:num>
  <w:num w:numId="39">
    <w:abstractNumId w:val="14"/>
  </w:num>
  <w:num w:numId="40">
    <w:abstractNumId w:val="1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16"/>
    <w:rsid w:val="000036DB"/>
    <w:rsid w:val="00005B41"/>
    <w:rsid w:val="00010CDD"/>
    <w:rsid w:val="000124BB"/>
    <w:rsid w:val="00015146"/>
    <w:rsid w:val="00015A4A"/>
    <w:rsid w:val="00027EB4"/>
    <w:rsid w:val="00031BF0"/>
    <w:rsid w:val="0003221D"/>
    <w:rsid w:val="00033013"/>
    <w:rsid w:val="00033D6D"/>
    <w:rsid w:val="000379F8"/>
    <w:rsid w:val="00043EC6"/>
    <w:rsid w:val="00053395"/>
    <w:rsid w:val="00061208"/>
    <w:rsid w:val="00062635"/>
    <w:rsid w:val="000632F0"/>
    <w:rsid w:val="00075B0D"/>
    <w:rsid w:val="00077CD3"/>
    <w:rsid w:val="00081BA5"/>
    <w:rsid w:val="00085A7D"/>
    <w:rsid w:val="00092D9F"/>
    <w:rsid w:val="00095554"/>
    <w:rsid w:val="000A0A47"/>
    <w:rsid w:val="000A336E"/>
    <w:rsid w:val="000A43BE"/>
    <w:rsid w:val="000C19E9"/>
    <w:rsid w:val="000C3CF0"/>
    <w:rsid w:val="000D421D"/>
    <w:rsid w:val="000D4378"/>
    <w:rsid w:val="000D7FCF"/>
    <w:rsid w:val="000E168C"/>
    <w:rsid w:val="000E7B16"/>
    <w:rsid w:val="000E7B29"/>
    <w:rsid w:val="000F1C2C"/>
    <w:rsid w:val="000F3BF1"/>
    <w:rsid w:val="000F7973"/>
    <w:rsid w:val="00100733"/>
    <w:rsid w:val="0010561C"/>
    <w:rsid w:val="001057DE"/>
    <w:rsid w:val="00106A50"/>
    <w:rsid w:val="00113758"/>
    <w:rsid w:val="00123286"/>
    <w:rsid w:val="00125C70"/>
    <w:rsid w:val="00126DD8"/>
    <w:rsid w:val="001404F3"/>
    <w:rsid w:val="00153E1F"/>
    <w:rsid w:val="00156953"/>
    <w:rsid w:val="00161E3B"/>
    <w:rsid w:val="001635C4"/>
    <w:rsid w:val="00163D85"/>
    <w:rsid w:val="00165773"/>
    <w:rsid w:val="00172339"/>
    <w:rsid w:val="00181B41"/>
    <w:rsid w:val="00186BFB"/>
    <w:rsid w:val="00193781"/>
    <w:rsid w:val="001965E1"/>
    <w:rsid w:val="00197026"/>
    <w:rsid w:val="001A0595"/>
    <w:rsid w:val="001A1AA5"/>
    <w:rsid w:val="001B1021"/>
    <w:rsid w:val="001B75E3"/>
    <w:rsid w:val="001C16A4"/>
    <w:rsid w:val="001C2E0F"/>
    <w:rsid w:val="001D2E7E"/>
    <w:rsid w:val="001E353C"/>
    <w:rsid w:val="001E42B4"/>
    <w:rsid w:val="001E4391"/>
    <w:rsid w:val="001E62B2"/>
    <w:rsid w:val="001E72AF"/>
    <w:rsid w:val="001F76FD"/>
    <w:rsid w:val="00202AE8"/>
    <w:rsid w:val="002129D0"/>
    <w:rsid w:val="0021651E"/>
    <w:rsid w:val="00220083"/>
    <w:rsid w:val="002249CD"/>
    <w:rsid w:val="002271FE"/>
    <w:rsid w:val="0023110B"/>
    <w:rsid w:val="0023117E"/>
    <w:rsid w:val="002333F7"/>
    <w:rsid w:val="0023698A"/>
    <w:rsid w:val="00237658"/>
    <w:rsid w:val="00240775"/>
    <w:rsid w:val="002441C4"/>
    <w:rsid w:val="00257F05"/>
    <w:rsid w:val="0026481C"/>
    <w:rsid w:val="00275A50"/>
    <w:rsid w:val="0027720A"/>
    <w:rsid w:val="0028274F"/>
    <w:rsid w:val="00282C29"/>
    <w:rsid w:val="00283FC7"/>
    <w:rsid w:val="00286538"/>
    <w:rsid w:val="0028675C"/>
    <w:rsid w:val="00290616"/>
    <w:rsid w:val="00294B1F"/>
    <w:rsid w:val="002968F9"/>
    <w:rsid w:val="002A2501"/>
    <w:rsid w:val="002A2D0F"/>
    <w:rsid w:val="002A698E"/>
    <w:rsid w:val="002A79D1"/>
    <w:rsid w:val="002B02BE"/>
    <w:rsid w:val="002B0659"/>
    <w:rsid w:val="002B2FB7"/>
    <w:rsid w:val="002D28CB"/>
    <w:rsid w:val="002D3EDA"/>
    <w:rsid w:val="002D714F"/>
    <w:rsid w:val="002E145F"/>
    <w:rsid w:val="002E1FE6"/>
    <w:rsid w:val="002E4752"/>
    <w:rsid w:val="002E627D"/>
    <w:rsid w:val="002E7CF9"/>
    <w:rsid w:val="002F0CA7"/>
    <w:rsid w:val="002F264B"/>
    <w:rsid w:val="002F64E7"/>
    <w:rsid w:val="002F6A0B"/>
    <w:rsid w:val="003036C6"/>
    <w:rsid w:val="00304454"/>
    <w:rsid w:val="00310690"/>
    <w:rsid w:val="00310BF2"/>
    <w:rsid w:val="00311629"/>
    <w:rsid w:val="00311DF0"/>
    <w:rsid w:val="00316721"/>
    <w:rsid w:val="003219A2"/>
    <w:rsid w:val="00322D24"/>
    <w:rsid w:val="0032341E"/>
    <w:rsid w:val="00323929"/>
    <w:rsid w:val="003251F4"/>
    <w:rsid w:val="00325398"/>
    <w:rsid w:val="00325EC5"/>
    <w:rsid w:val="00331452"/>
    <w:rsid w:val="0033325B"/>
    <w:rsid w:val="00341C00"/>
    <w:rsid w:val="00352EA4"/>
    <w:rsid w:val="003541A8"/>
    <w:rsid w:val="00356C31"/>
    <w:rsid w:val="00357986"/>
    <w:rsid w:val="00364C6F"/>
    <w:rsid w:val="003721CB"/>
    <w:rsid w:val="0037586E"/>
    <w:rsid w:val="00375DA1"/>
    <w:rsid w:val="00377C32"/>
    <w:rsid w:val="003815B9"/>
    <w:rsid w:val="003856D7"/>
    <w:rsid w:val="00392533"/>
    <w:rsid w:val="00394B0E"/>
    <w:rsid w:val="003974B1"/>
    <w:rsid w:val="003A4327"/>
    <w:rsid w:val="003C0DD8"/>
    <w:rsid w:val="003C1A92"/>
    <w:rsid w:val="003C1ABE"/>
    <w:rsid w:val="003C1DE9"/>
    <w:rsid w:val="003C22F5"/>
    <w:rsid w:val="003C3178"/>
    <w:rsid w:val="003C36C1"/>
    <w:rsid w:val="003C3D7B"/>
    <w:rsid w:val="003C69FA"/>
    <w:rsid w:val="003C6AB1"/>
    <w:rsid w:val="003D1771"/>
    <w:rsid w:val="003D1E09"/>
    <w:rsid w:val="003D3541"/>
    <w:rsid w:val="003D52A0"/>
    <w:rsid w:val="003D5875"/>
    <w:rsid w:val="003D601A"/>
    <w:rsid w:val="003D7301"/>
    <w:rsid w:val="003D735F"/>
    <w:rsid w:val="003E24C8"/>
    <w:rsid w:val="003E2EDA"/>
    <w:rsid w:val="003E3888"/>
    <w:rsid w:val="003E6518"/>
    <w:rsid w:val="003F2332"/>
    <w:rsid w:val="0040178B"/>
    <w:rsid w:val="004114E9"/>
    <w:rsid w:val="00411FEE"/>
    <w:rsid w:val="004131DA"/>
    <w:rsid w:val="004142E7"/>
    <w:rsid w:val="0041589C"/>
    <w:rsid w:val="004239B2"/>
    <w:rsid w:val="00424056"/>
    <w:rsid w:val="00426034"/>
    <w:rsid w:val="004302B0"/>
    <w:rsid w:val="0043489B"/>
    <w:rsid w:val="00434A93"/>
    <w:rsid w:val="00435670"/>
    <w:rsid w:val="00440769"/>
    <w:rsid w:val="00440936"/>
    <w:rsid w:val="00442F41"/>
    <w:rsid w:val="00446EBD"/>
    <w:rsid w:val="00451C6E"/>
    <w:rsid w:val="00452262"/>
    <w:rsid w:val="00455BB0"/>
    <w:rsid w:val="00465199"/>
    <w:rsid w:val="00465D54"/>
    <w:rsid w:val="00471425"/>
    <w:rsid w:val="004756E6"/>
    <w:rsid w:val="00493253"/>
    <w:rsid w:val="00494FEA"/>
    <w:rsid w:val="0049589C"/>
    <w:rsid w:val="00495C95"/>
    <w:rsid w:val="00496028"/>
    <w:rsid w:val="004961B2"/>
    <w:rsid w:val="004A27B6"/>
    <w:rsid w:val="004A2E0C"/>
    <w:rsid w:val="004A338F"/>
    <w:rsid w:val="004B0804"/>
    <w:rsid w:val="004B1A30"/>
    <w:rsid w:val="004B2D92"/>
    <w:rsid w:val="004B35EA"/>
    <w:rsid w:val="004B4420"/>
    <w:rsid w:val="004B5694"/>
    <w:rsid w:val="004B62B6"/>
    <w:rsid w:val="004C0CA2"/>
    <w:rsid w:val="004C45C3"/>
    <w:rsid w:val="004C7990"/>
    <w:rsid w:val="004D2950"/>
    <w:rsid w:val="004D390A"/>
    <w:rsid w:val="004D7087"/>
    <w:rsid w:val="004E74FD"/>
    <w:rsid w:val="004F013A"/>
    <w:rsid w:val="004F0A8D"/>
    <w:rsid w:val="004F35FA"/>
    <w:rsid w:val="004F3604"/>
    <w:rsid w:val="004F7A7E"/>
    <w:rsid w:val="005022EF"/>
    <w:rsid w:val="005054B1"/>
    <w:rsid w:val="005077A0"/>
    <w:rsid w:val="00507A49"/>
    <w:rsid w:val="00513DAA"/>
    <w:rsid w:val="00514173"/>
    <w:rsid w:val="00515AD9"/>
    <w:rsid w:val="00515BC2"/>
    <w:rsid w:val="00520A52"/>
    <w:rsid w:val="00525A89"/>
    <w:rsid w:val="00526072"/>
    <w:rsid w:val="00526417"/>
    <w:rsid w:val="00530425"/>
    <w:rsid w:val="0053084B"/>
    <w:rsid w:val="00533D74"/>
    <w:rsid w:val="00536E36"/>
    <w:rsid w:val="00540E8A"/>
    <w:rsid w:val="005431A1"/>
    <w:rsid w:val="005638AA"/>
    <w:rsid w:val="00566011"/>
    <w:rsid w:val="00582BF2"/>
    <w:rsid w:val="00591DB9"/>
    <w:rsid w:val="0059657F"/>
    <w:rsid w:val="005A16C5"/>
    <w:rsid w:val="005B401E"/>
    <w:rsid w:val="005B7A0A"/>
    <w:rsid w:val="005C1933"/>
    <w:rsid w:val="005C3D99"/>
    <w:rsid w:val="005D2EFE"/>
    <w:rsid w:val="005D3911"/>
    <w:rsid w:val="005D47AF"/>
    <w:rsid w:val="005D6F92"/>
    <w:rsid w:val="005D7686"/>
    <w:rsid w:val="005E2CAC"/>
    <w:rsid w:val="005F3FEB"/>
    <w:rsid w:val="005F42EE"/>
    <w:rsid w:val="005F7F2B"/>
    <w:rsid w:val="00603C4E"/>
    <w:rsid w:val="006053DD"/>
    <w:rsid w:val="006162CF"/>
    <w:rsid w:val="00620A50"/>
    <w:rsid w:val="00621269"/>
    <w:rsid w:val="00622300"/>
    <w:rsid w:val="0062244C"/>
    <w:rsid w:val="00624874"/>
    <w:rsid w:val="00630AFE"/>
    <w:rsid w:val="00634690"/>
    <w:rsid w:val="0063547C"/>
    <w:rsid w:val="006450EA"/>
    <w:rsid w:val="006503C6"/>
    <w:rsid w:val="00650AC8"/>
    <w:rsid w:val="00651A0F"/>
    <w:rsid w:val="00655318"/>
    <w:rsid w:val="00657755"/>
    <w:rsid w:val="00657F76"/>
    <w:rsid w:val="00662773"/>
    <w:rsid w:val="00665D0A"/>
    <w:rsid w:val="00667A00"/>
    <w:rsid w:val="006741AE"/>
    <w:rsid w:val="00674C40"/>
    <w:rsid w:val="006756F5"/>
    <w:rsid w:val="00676054"/>
    <w:rsid w:val="006760D4"/>
    <w:rsid w:val="00676774"/>
    <w:rsid w:val="00676BE7"/>
    <w:rsid w:val="006775CA"/>
    <w:rsid w:val="00681369"/>
    <w:rsid w:val="00681DFD"/>
    <w:rsid w:val="0068214D"/>
    <w:rsid w:val="00683785"/>
    <w:rsid w:val="006840AB"/>
    <w:rsid w:val="00684365"/>
    <w:rsid w:val="00685B24"/>
    <w:rsid w:val="00690339"/>
    <w:rsid w:val="00692F02"/>
    <w:rsid w:val="006951F2"/>
    <w:rsid w:val="00695BB0"/>
    <w:rsid w:val="00697864"/>
    <w:rsid w:val="00697A57"/>
    <w:rsid w:val="006A22AE"/>
    <w:rsid w:val="006A3B69"/>
    <w:rsid w:val="006A3D3B"/>
    <w:rsid w:val="006B0E6F"/>
    <w:rsid w:val="006C2BB7"/>
    <w:rsid w:val="006C5F3A"/>
    <w:rsid w:val="006D04A2"/>
    <w:rsid w:val="006D1A7C"/>
    <w:rsid w:val="006D25C9"/>
    <w:rsid w:val="006D4378"/>
    <w:rsid w:val="006E39A5"/>
    <w:rsid w:val="006E3EBE"/>
    <w:rsid w:val="006F79DE"/>
    <w:rsid w:val="007032C0"/>
    <w:rsid w:val="0070784E"/>
    <w:rsid w:val="00707B15"/>
    <w:rsid w:val="00710186"/>
    <w:rsid w:val="00711D28"/>
    <w:rsid w:val="0071396E"/>
    <w:rsid w:val="00714905"/>
    <w:rsid w:val="0072122C"/>
    <w:rsid w:val="007269F7"/>
    <w:rsid w:val="00730956"/>
    <w:rsid w:val="00744B9C"/>
    <w:rsid w:val="0074658F"/>
    <w:rsid w:val="007530BF"/>
    <w:rsid w:val="0076271F"/>
    <w:rsid w:val="00764BF8"/>
    <w:rsid w:val="00766ACB"/>
    <w:rsid w:val="0078032C"/>
    <w:rsid w:val="00783047"/>
    <w:rsid w:val="00792160"/>
    <w:rsid w:val="007946F5"/>
    <w:rsid w:val="00797F26"/>
    <w:rsid w:val="007A109E"/>
    <w:rsid w:val="007A1C3E"/>
    <w:rsid w:val="007A287E"/>
    <w:rsid w:val="007B0835"/>
    <w:rsid w:val="007B1ED4"/>
    <w:rsid w:val="007C0590"/>
    <w:rsid w:val="007C2F8C"/>
    <w:rsid w:val="007C76CB"/>
    <w:rsid w:val="007C7A86"/>
    <w:rsid w:val="007D1B0E"/>
    <w:rsid w:val="007E1AA4"/>
    <w:rsid w:val="007E4301"/>
    <w:rsid w:val="007E431D"/>
    <w:rsid w:val="007E45B5"/>
    <w:rsid w:val="007F09E8"/>
    <w:rsid w:val="00814533"/>
    <w:rsid w:val="00822A09"/>
    <w:rsid w:val="0082578B"/>
    <w:rsid w:val="0082697A"/>
    <w:rsid w:val="00826F27"/>
    <w:rsid w:val="008271C2"/>
    <w:rsid w:val="008272A2"/>
    <w:rsid w:val="0082784D"/>
    <w:rsid w:val="0083274C"/>
    <w:rsid w:val="008334EB"/>
    <w:rsid w:val="00843B7E"/>
    <w:rsid w:val="0085037E"/>
    <w:rsid w:val="00850388"/>
    <w:rsid w:val="00850B96"/>
    <w:rsid w:val="00852ED5"/>
    <w:rsid w:val="008554A6"/>
    <w:rsid w:val="008635E6"/>
    <w:rsid w:val="0087558F"/>
    <w:rsid w:val="008758FE"/>
    <w:rsid w:val="0088102F"/>
    <w:rsid w:val="008820E9"/>
    <w:rsid w:val="0088482E"/>
    <w:rsid w:val="00885655"/>
    <w:rsid w:val="00887ACA"/>
    <w:rsid w:val="00891B1C"/>
    <w:rsid w:val="008959DF"/>
    <w:rsid w:val="00896EEB"/>
    <w:rsid w:val="008A165F"/>
    <w:rsid w:val="008A2063"/>
    <w:rsid w:val="008A5A46"/>
    <w:rsid w:val="008B5144"/>
    <w:rsid w:val="008B62D7"/>
    <w:rsid w:val="008B6A41"/>
    <w:rsid w:val="008C23AD"/>
    <w:rsid w:val="008D1399"/>
    <w:rsid w:val="008D2BC1"/>
    <w:rsid w:val="008D5E64"/>
    <w:rsid w:val="008D61C6"/>
    <w:rsid w:val="008D6CAD"/>
    <w:rsid w:val="008D6F99"/>
    <w:rsid w:val="008D6FAC"/>
    <w:rsid w:val="008D75A3"/>
    <w:rsid w:val="008F0869"/>
    <w:rsid w:val="008F2404"/>
    <w:rsid w:val="008F4663"/>
    <w:rsid w:val="008F4A7F"/>
    <w:rsid w:val="009052D5"/>
    <w:rsid w:val="00916413"/>
    <w:rsid w:val="0092064A"/>
    <w:rsid w:val="00920F1F"/>
    <w:rsid w:val="00924796"/>
    <w:rsid w:val="009311BC"/>
    <w:rsid w:val="009357E6"/>
    <w:rsid w:val="009400DA"/>
    <w:rsid w:val="00946918"/>
    <w:rsid w:val="00950C6B"/>
    <w:rsid w:val="00950C98"/>
    <w:rsid w:val="00950D7E"/>
    <w:rsid w:val="00951FB9"/>
    <w:rsid w:val="0095222B"/>
    <w:rsid w:val="00953BCD"/>
    <w:rsid w:val="00953F7B"/>
    <w:rsid w:val="00967AEF"/>
    <w:rsid w:val="00973EA0"/>
    <w:rsid w:val="00977D2E"/>
    <w:rsid w:val="00977EE0"/>
    <w:rsid w:val="0098074F"/>
    <w:rsid w:val="00983D9B"/>
    <w:rsid w:val="00984F4C"/>
    <w:rsid w:val="0099212B"/>
    <w:rsid w:val="00996977"/>
    <w:rsid w:val="00997798"/>
    <w:rsid w:val="009A1247"/>
    <w:rsid w:val="009A354D"/>
    <w:rsid w:val="009A7ACD"/>
    <w:rsid w:val="009C3E93"/>
    <w:rsid w:val="009C7DA4"/>
    <w:rsid w:val="009D1808"/>
    <w:rsid w:val="009E55F8"/>
    <w:rsid w:val="009E69BC"/>
    <w:rsid w:val="009F68C7"/>
    <w:rsid w:val="00A018BD"/>
    <w:rsid w:val="00A053AA"/>
    <w:rsid w:val="00A07ABC"/>
    <w:rsid w:val="00A10121"/>
    <w:rsid w:val="00A14407"/>
    <w:rsid w:val="00A204E7"/>
    <w:rsid w:val="00A220B9"/>
    <w:rsid w:val="00A249D8"/>
    <w:rsid w:val="00A32559"/>
    <w:rsid w:val="00A34D64"/>
    <w:rsid w:val="00A37015"/>
    <w:rsid w:val="00A500B8"/>
    <w:rsid w:val="00A52606"/>
    <w:rsid w:val="00A5351A"/>
    <w:rsid w:val="00A56E73"/>
    <w:rsid w:val="00A571BB"/>
    <w:rsid w:val="00A6623F"/>
    <w:rsid w:val="00A723AB"/>
    <w:rsid w:val="00A726DD"/>
    <w:rsid w:val="00A74C13"/>
    <w:rsid w:val="00A75858"/>
    <w:rsid w:val="00A8797F"/>
    <w:rsid w:val="00A921F0"/>
    <w:rsid w:val="00A933E8"/>
    <w:rsid w:val="00A94D8C"/>
    <w:rsid w:val="00A95CFA"/>
    <w:rsid w:val="00A96483"/>
    <w:rsid w:val="00AA41BB"/>
    <w:rsid w:val="00AB1809"/>
    <w:rsid w:val="00AB1C8E"/>
    <w:rsid w:val="00AB3B89"/>
    <w:rsid w:val="00AB4E93"/>
    <w:rsid w:val="00AB646D"/>
    <w:rsid w:val="00AC3EC2"/>
    <w:rsid w:val="00AC5026"/>
    <w:rsid w:val="00AC58AC"/>
    <w:rsid w:val="00AC5992"/>
    <w:rsid w:val="00AD4269"/>
    <w:rsid w:val="00AE5F79"/>
    <w:rsid w:val="00AF1261"/>
    <w:rsid w:val="00AF484F"/>
    <w:rsid w:val="00AF5A37"/>
    <w:rsid w:val="00AF73D3"/>
    <w:rsid w:val="00AF7CC6"/>
    <w:rsid w:val="00B05AA5"/>
    <w:rsid w:val="00B147A8"/>
    <w:rsid w:val="00B14E0B"/>
    <w:rsid w:val="00B17F97"/>
    <w:rsid w:val="00B25C48"/>
    <w:rsid w:val="00B34B45"/>
    <w:rsid w:val="00B37281"/>
    <w:rsid w:val="00B3789F"/>
    <w:rsid w:val="00B54724"/>
    <w:rsid w:val="00B55735"/>
    <w:rsid w:val="00B60C3C"/>
    <w:rsid w:val="00B61020"/>
    <w:rsid w:val="00B610E2"/>
    <w:rsid w:val="00B64236"/>
    <w:rsid w:val="00B656FF"/>
    <w:rsid w:val="00B65718"/>
    <w:rsid w:val="00B6684A"/>
    <w:rsid w:val="00B73EE0"/>
    <w:rsid w:val="00B75104"/>
    <w:rsid w:val="00B822E0"/>
    <w:rsid w:val="00B84937"/>
    <w:rsid w:val="00B8797E"/>
    <w:rsid w:val="00B92F67"/>
    <w:rsid w:val="00B94791"/>
    <w:rsid w:val="00BA3D29"/>
    <w:rsid w:val="00BA66B3"/>
    <w:rsid w:val="00BB17CE"/>
    <w:rsid w:val="00BB1AE7"/>
    <w:rsid w:val="00BB1EB1"/>
    <w:rsid w:val="00BB4530"/>
    <w:rsid w:val="00BB476E"/>
    <w:rsid w:val="00BC4F3F"/>
    <w:rsid w:val="00BD0159"/>
    <w:rsid w:val="00BD1554"/>
    <w:rsid w:val="00BD5DD6"/>
    <w:rsid w:val="00BD684C"/>
    <w:rsid w:val="00BE2598"/>
    <w:rsid w:val="00C02B26"/>
    <w:rsid w:val="00C04833"/>
    <w:rsid w:val="00C06F9A"/>
    <w:rsid w:val="00C143CE"/>
    <w:rsid w:val="00C16882"/>
    <w:rsid w:val="00C170C9"/>
    <w:rsid w:val="00C20E90"/>
    <w:rsid w:val="00C21749"/>
    <w:rsid w:val="00C21AEB"/>
    <w:rsid w:val="00C276F0"/>
    <w:rsid w:val="00C27E97"/>
    <w:rsid w:val="00C3059E"/>
    <w:rsid w:val="00C310CA"/>
    <w:rsid w:val="00C3248E"/>
    <w:rsid w:val="00C326A4"/>
    <w:rsid w:val="00C337E2"/>
    <w:rsid w:val="00C349E5"/>
    <w:rsid w:val="00C420F3"/>
    <w:rsid w:val="00C4394D"/>
    <w:rsid w:val="00C455A4"/>
    <w:rsid w:val="00C47A33"/>
    <w:rsid w:val="00C510AC"/>
    <w:rsid w:val="00C531C4"/>
    <w:rsid w:val="00C537B7"/>
    <w:rsid w:val="00C5562E"/>
    <w:rsid w:val="00C61A1B"/>
    <w:rsid w:val="00C61B83"/>
    <w:rsid w:val="00C63346"/>
    <w:rsid w:val="00C6613D"/>
    <w:rsid w:val="00C70BE2"/>
    <w:rsid w:val="00C72613"/>
    <w:rsid w:val="00C7303B"/>
    <w:rsid w:val="00C7363F"/>
    <w:rsid w:val="00C7523F"/>
    <w:rsid w:val="00C75A7E"/>
    <w:rsid w:val="00C82A06"/>
    <w:rsid w:val="00C83E80"/>
    <w:rsid w:val="00C86723"/>
    <w:rsid w:val="00C960EF"/>
    <w:rsid w:val="00C97296"/>
    <w:rsid w:val="00CA0454"/>
    <w:rsid w:val="00CA0AC9"/>
    <w:rsid w:val="00CA6C4A"/>
    <w:rsid w:val="00CC0593"/>
    <w:rsid w:val="00CC0B34"/>
    <w:rsid w:val="00CC226F"/>
    <w:rsid w:val="00CC658E"/>
    <w:rsid w:val="00CC70D7"/>
    <w:rsid w:val="00CD2A8A"/>
    <w:rsid w:val="00CD5FFF"/>
    <w:rsid w:val="00CE0CCC"/>
    <w:rsid w:val="00CE4FF9"/>
    <w:rsid w:val="00CF0B6C"/>
    <w:rsid w:val="00CF60B2"/>
    <w:rsid w:val="00CF7432"/>
    <w:rsid w:val="00D134D2"/>
    <w:rsid w:val="00D14D59"/>
    <w:rsid w:val="00D14E0E"/>
    <w:rsid w:val="00D16D4D"/>
    <w:rsid w:val="00D170C7"/>
    <w:rsid w:val="00D26612"/>
    <w:rsid w:val="00D30FE7"/>
    <w:rsid w:val="00D32EBC"/>
    <w:rsid w:val="00D361FF"/>
    <w:rsid w:val="00D3631D"/>
    <w:rsid w:val="00D37A87"/>
    <w:rsid w:val="00D42932"/>
    <w:rsid w:val="00D43FE8"/>
    <w:rsid w:val="00D44CB2"/>
    <w:rsid w:val="00D516D3"/>
    <w:rsid w:val="00D55597"/>
    <w:rsid w:val="00D561E6"/>
    <w:rsid w:val="00D62AAF"/>
    <w:rsid w:val="00D64514"/>
    <w:rsid w:val="00D662EB"/>
    <w:rsid w:val="00D666AA"/>
    <w:rsid w:val="00D73BE6"/>
    <w:rsid w:val="00D76392"/>
    <w:rsid w:val="00D808DF"/>
    <w:rsid w:val="00D83099"/>
    <w:rsid w:val="00DA14C4"/>
    <w:rsid w:val="00DA3252"/>
    <w:rsid w:val="00DA6B7B"/>
    <w:rsid w:val="00DA6DFB"/>
    <w:rsid w:val="00DB7C13"/>
    <w:rsid w:val="00DC5199"/>
    <w:rsid w:val="00DC6B32"/>
    <w:rsid w:val="00DD2A99"/>
    <w:rsid w:val="00DF1E40"/>
    <w:rsid w:val="00E04AED"/>
    <w:rsid w:val="00E100D5"/>
    <w:rsid w:val="00E1148F"/>
    <w:rsid w:val="00E13A3C"/>
    <w:rsid w:val="00E17A89"/>
    <w:rsid w:val="00E3540A"/>
    <w:rsid w:val="00E356FE"/>
    <w:rsid w:val="00E40444"/>
    <w:rsid w:val="00E42D4D"/>
    <w:rsid w:val="00E4324C"/>
    <w:rsid w:val="00E4449E"/>
    <w:rsid w:val="00E464CD"/>
    <w:rsid w:val="00E47623"/>
    <w:rsid w:val="00E52C2E"/>
    <w:rsid w:val="00E65E87"/>
    <w:rsid w:val="00E72A5C"/>
    <w:rsid w:val="00E74354"/>
    <w:rsid w:val="00E77881"/>
    <w:rsid w:val="00E77937"/>
    <w:rsid w:val="00E77E30"/>
    <w:rsid w:val="00E924A8"/>
    <w:rsid w:val="00E93D32"/>
    <w:rsid w:val="00E95713"/>
    <w:rsid w:val="00EA285C"/>
    <w:rsid w:val="00EA3E73"/>
    <w:rsid w:val="00EA4BA4"/>
    <w:rsid w:val="00EB022B"/>
    <w:rsid w:val="00EB3342"/>
    <w:rsid w:val="00EB5063"/>
    <w:rsid w:val="00EB5EEF"/>
    <w:rsid w:val="00EB755E"/>
    <w:rsid w:val="00EC38CE"/>
    <w:rsid w:val="00EC69C6"/>
    <w:rsid w:val="00ED2E43"/>
    <w:rsid w:val="00ED666B"/>
    <w:rsid w:val="00EE33A8"/>
    <w:rsid w:val="00EE416E"/>
    <w:rsid w:val="00EE6E06"/>
    <w:rsid w:val="00EF30EC"/>
    <w:rsid w:val="00EF3942"/>
    <w:rsid w:val="00F07BE2"/>
    <w:rsid w:val="00F11761"/>
    <w:rsid w:val="00F23CF4"/>
    <w:rsid w:val="00F26A7D"/>
    <w:rsid w:val="00F276D7"/>
    <w:rsid w:val="00F3527F"/>
    <w:rsid w:val="00F37476"/>
    <w:rsid w:val="00F4059C"/>
    <w:rsid w:val="00F43787"/>
    <w:rsid w:val="00F45F0F"/>
    <w:rsid w:val="00F45FF6"/>
    <w:rsid w:val="00F46994"/>
    <w:rsid w:val="00F47108"/>
    <w:rsid w:val="00F5207C"/>
    <w:rsid w:val="00F5584A"/>
    <w:rsid w:val="00F57C10"/>
    <w:rsid w:val="00F61AE6"/>
    <w:rsid w:val="00F62382"/>
    <w:rsid w:val="00F67C57"/>
    <w:rsid w:val="00F67CB7"/>
    <w:rsid w:val="00F67EC6"/>
    <w:rsid w:val="00F72698"/>
    <w:rsid w:val="00F74A8E"/>
    <w:rsid w:val="00F761E0"/>
    <w:rsid w:val="00F82294"/>
    <w:rsid w:val="00F842E4"/>
    <w:rsid w:val="00F903F6"/>
    <w:rsid w:val="00F933A7"/>
    <w:rsid w:val="00F93659"/>
    <w:rsid w:val="00FA10A7"/>
    <w:rsid w:val="00FA132C"/>
    <w:rsid w:val="00FA3178"/>
    <w:rsid w:val="00FB2BE4"/>
    <w:rsid w:val="00FB3762"/>
    <w:rsid w:val="00FB665A"/>
    <w:rsid w:val="00FC262B"/>
    <w:rsid w:val="00FC3127"/>
    <w:rsid w:val="00FC7F1C"/>
    <w:rsid w:val="00FD396C"/>
    <w:rsid w:val="00FE04F4"/>
    <w:rsid w:val="00FE08EC"/>
    <w:rsid w:val="00FE2907"/>
    <w:rsid w:val="00FE4469"/>
    <w:rsid w:val="00FE5398"/>
    <w:rsid w:val="00FE5876"/>
    <w:rsid w:val="00FE67F5"/>
    <w:rsid w:val="00FF55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EE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lt-LT"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81C"/>
    <w:pPr>
      <w:ind w:left="720"/>
      <w:contextualSpacing/>
    </w:pPr>
  </w:style>
  <w:style w:type="character" w:styleId="CommentReference">
    <w:name w:val="annotation reference"/>
    <w:uiPriority w:val="99"/>
    <w:semiHidden/>
    <w:unhideWhenUsed/>
    <w:rsid w:val="00AB4E93"/>
    <w:rPr>
      <w:sz w:val="16"/>
      <w:szCs w:val="16"/>
    </w:rPr>
  </w:style>
  <w:style w:type="paragraph" w:styleId="CommentText">
    <w:name w:val="annotation text"/>
    <w:basedOn w:val="Normal"/>
    <w:link w:val="CommentTextChar"/>
    <w:uiPriority w:val="99"/>
    <w:semiHidden/>
    <w:unhideWhenUsed/>
    <w:rsid w:val="00AB4E93"/>
    <w:pPr>
      <w:spacing w:line="240" w:lineRule="auto"/>
    </w:pPr>
    <w:rPr>
      <w:sz w:val="20"/>
      <w:szCs w:val="20"/>
    </w:rPr>
  </w:style>
  <w:style w:type="character" w:customStyle="1" w:styleId="CommentTextChar">
    <w:name w:val="Comment Text Char"/>
    <w:link w:val="CommentText"/>
    <w:uiPriority w:val="99"/>
    <w:semiHidden/>
    <w:rsid w:val="00AB4E93"/>
    <w:rPr>
      <w:sz w:val="20"/>
      <w:szCs w:val="20"/>
    </w:rPr>
  </w:style>
  <w:style w:type="paragraph" w:styleId="CommentSubject">
    <w:name w:val="annotation subject"/>
    <w:basedOn w:val="CommentText"/>
    <w:next w:val="CommentText"/>
    <w:link w:val="CommentSubjectChar"/>
    <w:uiPriority w:val="99"/>
    <w:semiHidden/>
    <w:unhideWhenUsed/>
    <w:rsid w:val="00AB4E93"/>
    <w:rPr>
      <w:b/>
      <w:bCs/>
    </w:rPr>
  </w:style>
  <w:style w:type="character" w:customStyle="1" w:styleId="CommentSubjectChar">
    <w:name w:val="Comment Subject Char"/>
    <w:link w:val="CommentSubject"/>
    <w:uiPriority w:val="99"/>
    <w:semiHidden/>
    <w:rsid w:val="00AB4E93"/>
    <w:rPr>
      <w:b/>
      <w:bCs/>
      <w:sz w:val="20"/>
      <w:szCs w:val="20"/>
    </w:rPr>
  </w:style>
  <w:style w:type="paragraph" w:styleId="BalloonText">
    <w:name w:val="Balloon Text"/>
    <w:basedOn w:val="Normal"/>
    <w:link w:val="BalloonTextChar"/>
    <w:uiPriority w:val="99"/>
    <w:semiHidden/>
    <w:unhideWhenUsed/>
    <w:rsid w:val="00AB4E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4E93"/>
    <w:rPr>
      <w:rFonts w:ascii="Segoe UI" w:hAnsi="Segoe UI" w:cs="Segoe UI"/>
      <w:sz w:val="18"/>
      <w:szCs w:val="18"/>
    </w:rPr>
  </w:style>
  <w:style w:type="paragraph" w:styleId="Revision">
    <w:name w:val="Revision"/>
    <w:hidden/>
    <w:uiPriority w:val="99"/>
    <w:semiHidden/>
    <w:rsid w:val="00F23CF4"/>
    <w:rPr>
      <w:sz w:val="22"/>
      <w:szCs w:val="22"/>
      <w:lang w:val="ru-RU" w:eastAsia="en-US"/>
    </w:rPr>
  </w:style>
  <w:style w:type="character" w:styleId="Hyperlink">
    <w:name w:val="Hyperlink"/>
    <w:rsid w:val="000A336E"/>
    <w:rPr>
      <w:color w:val="0000FF"/>
      <w:u w:val="single"/>
    </w:rPr>
  </w:style>
  <w:style w:type="paragraph" w:customStyle="1" w:styleId="Normal12pt">
    <w:name w:val="Normal + 12 pt"/>
    <w:basedOn w:val="Normal"/>
    <w:link w:val="Normal12ptChar"/>
    <w:rsid w:val="000A336E"/>
    <w:pPr>
      <w:tabs>
        <w:tab w:val="left" w:pos="737"/>
      </w:tabs>
      <w:spacing w:after="0" w:line="240" w:lineRule="auto"/>
      <w:ind w:right="-283"/>
      <w:jc w:val="both"/>
    </w:pPr>
    <w:rPr>
      <w:rFonts w:ascii="Times New Roman" w:eastAsia="Times New Roman" w:hAnsi="Times New Roman"/>
      <w:sz w:val="24"/>
      <w:szCs w:val="24"/>
    </w:rPr>
  </w:style>
  <w:style w:type="character" w:customStyle="1" w:styleId="Normal12ptChar">
    <w:name w:val="Normal + 12 pt Char"/>
    <w:link w:val="Normal12pt"/>
    <w:rsid w:val="000A336E"/>
    <w:rPr>
      <w:rFonts w:ascii="Times New Roman" w:eastAsia="Times New Roman" w:hAnsi="Times New Roman" w:cs="Times New Roman"/>
      <w:sz w:val="24"/>
      <w:szCs w:val="24"/>
      <w:lang w:val="lt-LT"/>
    </w:rPr>
  </w:style>
  <w:style w:type="paragraph" w:styleId="FootnoteText">
    <w:name w:val="footnote text"/>
    <w:basedOn w:val="Normal"/>
    <w:link w:val="FootnoteTextChar"/>
    <w:uiPriority w:val="99"/>
    <w:semiHidden/>
    <w:unhideWhenUsed/>
    <w:rsid w:val="006741AE"/>
    <w:pPr>
      <w:spacing w:after="0" w:line="240" w:lineRule="auto"/>
    </w:pPr>
    <w:rPr>
      <w:sz w:val="20"/>
      <w:szCs w:val="20"/>
    </w:rPr>
  </w:style>
  <w:style w:type="character" w:customStyle="1" w:styleId="FootnoteTextChar">
    <w:name w:val="Footnote Text Char"/>
    <w:link w:val="FootnoteText"/>
    <w:uiPriority w:val="99"/>
    <w:semiHidden/>
    <w:rsid w:val="006741AE"/>
    <w:rPr>
      <w:sz w:val="20"/>
      <w:szCs w:val="20"/>
    </w:rPr>
  </w:style>
  <w:style w:type="character" w:styleId="FootnoteReference">
    <w:name w:val="footnote reference"/>
    <w:unhideWhenUsed/>
    <w:rsid w:val="006741AE"/>
    <w:rPr>
      <w:vertAlign w:val="superscript"/>
    </w:rPr>
  </w:style>
  <w:style w:type="paragraph" w:styleId="Header">
    <w:name w:val="header"/>
    <w:basedOn w:val="Normal"/>
    <w:link w:val="HeaderChar"/>
    <w:uiPriority w:val="99"/>
    <w:unhideWhenUsed/>
    <w:rsid w:val="00D3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87"/>
  </w:style>
  <w:style w:type="paragraph" w:styleId="Footer">
    <w:name w:val="footer"/>
    <w:basedOn w:val="Normal"/>
    <w:link w:val="FooterChar"/>
    <w:uiPriority w:val="99"/>
    <w:unhideWhenUsed/>
    <w:rsid w:val="00D3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87"/>
  </w:style>
  <w:style w:type="paragraph" w:styleId="EndnoteText">
    <w:name w:val="endnote text"/>
    <w:basedOn w:val="Normal"/>
    <w:link w:val="EndnoteTextChar"/>
    <w:uiPriority w:val="99"/>
    <w:semiHidden/>
    <w:unhideWhenUsed/>
    <w:rsid w:val="00AB3B89"/>
    <w:rPr>
      <w:sz w:val="20"/>
      <w:szCs w:val="20"/>
    </w:rPr>
  </w:style>
  <w:style w:type="character" w:customStyle="1" w:styleId="EndnoteTextChar">
    <w:name w:val="Endnote Text Char"/>
    <w:link w:val="EndnoteText"/>
    <w:uiPriority w:val="99"/>
    <w:semiHidden/>
    <w:rsid w:val="00AB3B89"/>
    <w:rPr>
      <w:lang w:eastAsia="en-US"/>
    </w:rPr>
  </w:style>
  <w:style w:type="character" w:styleId="EndnoteReference">
    <w:name w:val="endnote reference"/>
    <w:uiPriority w:val="99"/>
    <w:semiHidden/>
    <w:unhideWhenUsed/>
    <w:rsid w:val="00AB3B89"/>
    <w:rPr>
      <w:vertAlign w:val="superscript"/>
    </w:rPr>
  </w:style>
  <w:style w:type="paragraph" w:styleId="BodyText3">
    <w:name w:val="Body Text 3"/>
    <w:basedOn w:val="Normal"/>
    <w:link w:val="BodyText3Char"/>
    <w:rsid w:val="002F0CA7"/>
    <w:pPr>
      <w:spacing w:after="120" w:line="240" w:lineRule="auto"/>
    </w:pPr>
    <w:rPr>
      <w:rFonts w:ascii="Times New Roman" w:eastAsia="Times New Roman" w:hAnsi="Times New Roman"/>
      <w:sz w:val="16"/>
      <w:szCs w:val="16"/>
      <w:lang w:val="en-US"/>
    </w:rPr>
  </w:style>
  <w:style w:type="character" w:customStyle="1" w:styleId="BodyText3Char">
    <w:name w:val="Body Text 3 Char"/>
    <w:link w:val="BodyText3"/>
    <w:rsid w:val="002F0CA7"/>
    <w:rPr>
      <w:rFonts w:ascii="Times New Roman" w:eastAsia="Times New Roman" w:hAnsi="Times New Roman"/>
      <w:sz w:val="16"/>
      <w:szCs w:val="16"/>
      <w:lang w:val="en-US" w:eastAsia="en-US"/>
    </w:rPr>
  </w:style>
  <w:style w:type="paragraph" w:styleId="BodyTextIndent3">
    <w:name w:val="Body Text Indent 3"/>
    <w:basedOn w:val="Normal"/>
    <w:link w:val="BodyTextIndent3Char"/>
    <w:uiPriority w:val="99"/>
    <w:unhideWhenUsed/>
    <w:rsid w:val="00EE33A8"/>
    <w:pPr>
      <w:spacing w:after="120"/>
      <w:ind w:left="283"/>
    </w:pPr>
    <w:rPr>
      <w:sz w:val="16"/>
      <w:szCs w:val="16"/>
    </w:rPr>
  </w:style>
  <w:style w:type="character" w:customStyle="1" w:styleId="BodyTextIndent3Char">
    <w:name w:val="Body Text Indent 3 Char"/>
    <w:link w:val="BodyTextIndent3"/>
    <w:uiPriority w:val="99"/>
    <w:rsid w:val="00EE33A8"/>
    <w:rPr>
      <w:sz w:val="16"/>
      <w:szCs w:val="16"/>
      <w:lang w:eastAsia="en-US"/>
    </w:rPr>
  </w:style>
  <w:style w:type="character" w:styleId="Strong">
    <w:name w:val="Strong"/>
    <w:qFormat/>
    <w:rsid w:val="00163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79461">
      <w:bodyDiv w:val="1"/>
      <w:marLeft w:val="0"/>
      <w:marRight w:val="0"/>
      <w:marTop w:val="0"/>
      <w:marBottom w:val="0"/>
      <w:divBdr>
        <w:top w:val="none" w:sz="0" w:space="0" w:color="auto"/>
        <w:left w:val="none" w:sz="0" w:space="0" w:color="auto"/>
        <w:bottom w:val="none" w:sz="0" w:space="0" w:color="auto"/>
        <w:right w:val="none" w:sz="0" w:space="0" w:color="auto"/>
      </w:divBdr>
    </w:div>
    <w:div w:id="1128204194">
      <w:bodyDiv w:val="1"/>
      <w:marLeft w:val="0"/>
      <w:marRight w:val="0"/>
      <w:marTop w:val="0"/>
      <w:marBottom w:val="0"/>
      <w:divBdr>
        <w:top w:val="none" w:sz="0" w:space="0" w:color="auto"/>
        <w:left w:val="none" w:sz="0" w:space="0" w:color="auto"/>
        <w:bottom w:val="none" w:sz="0" w:space="0" w:color="auto"/>
        <w:right w:val="none" w:sz="0" w:space="0" w:color="auto"/>
      </w:divBdr>
    </w:div>
    <w:div w:id="1211649756">
      <w:bodyDiv w:val="1"/>
      <w:marLeft w:val="0"/>
      <w:marRight w:val="0"/>
      <w:marTop w:val="0"/>
      <w:marBottom w:val="0"/>
      <w:divBdr>
        <w:top w:val="none" w:sz="0" w:space="0" w:color="auto"/>
        <w:left w:val="none" w:sz="0" w:space="0" w:color="auto"/>
        <w:bottom w:val="none" w:sz="0" w:space="0" w:color="auto"/>
        <w:right w:val="none" w:sz="0" w:space="0" w:color="auto"/>
      </w:divBdr>
    </w:div>
    <w:div w:id="1358775929">
      <w:bodyDiv w:val="1"/>
      <w:marLeft w:val="0"/>
      <w:marRight w:val="0"/>
      <w:marTop w:val="0"/>
      <w:marBottom w:val="0"/>
      <w:divBdr>
        <w:top w:val="none" w:sz="0" w:space="0" w:color="auto"/>
        <w:left w:val="none" w:sz="0" w:space="0" w:color="auto"/>
        <w:bottom w:val="none" w:sz="0" w:space="0" w:color="auto"/>
        <w:right w:val="none" w:sz="0" w:space="0" w:color="auto"/>
      </w:divBdr>
    </w:div>
    <w:div w:id="1648778964">
      <w:bodyDiv w:val="1"/>
      <w:marLeft w:val="0"/>
      <w:marRight w:val="0"/>
      <w:marTop w:val="0"/>
      <w:marBottom w:val="0"/>
      <w:divBdr>
        <w:top w:val="none" w:sz="0" w:space="0" w:color="auto"/>
        <w:left w:val="none" w:sz="0" w:space="0" w:color="auto"/>
        <w:bottom w:val="none" w:sz="0" w:space="0" w:color="auto"/>
        <w:right w:val="none" w:sz="0" w:space="0" w:color="auto"/>
      </w:divBdr>
    </w:div>
    <w:div w:id="166470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vpt.lrv.lt/uploads/vpt/documents/files/2_pdfsam_Naudojimosi%20CVPIS%20taisykles.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1721C-0B9E-B447-BDBE-C16F46FE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6938</Words>
  <Characters>39548</Characters>
  <Application>Microsoft Macintosh Word</Application>
  <DocSecurity>0</DocSecurity>
  <Lines>329</Lines>
  <Paragraphs>92</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46394</CharactersWithSpaces>
  <SharedDoc>false</SharedDoc>
  <HLinks>
    <vt:vector size="6" baseType="variant">
      <vt:variant>
        <vt:i4>5177434</vt:i4>
      </vt:variant>
      <vt:variant>
        <vt:i4>0</vt:i4>
      </vt:variant>
      <vt:variant>
        <vt:i4>0</vt:i4>
      </vt:variant>
      <vt:variant>
        <vt:i4>5</vt:i4>
      </vt:variant>
      <vt:variant>
        <vt:lpwstr>http://vpt.lrv.lt/uploads/vpt/documents/files/2_pdfsam_Naudojimosi CVPIS taisykles.pdf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Ilčiukas</dc:creator>
  <cp:keywords/>
  <cp:lastModifiedBy>Regvyta Gelumbauskiene</cp:lastModifiedBy>
  <cp:revision>2</cp:revision>
  <cp:lastPrinted>2017-08-31T10:43:00Z</cp:lastPrinted>
  <dcterms:created xsi:type="dcterms:W3CDTF">2017-10-05T16:33:00Z</dcterms:created>
  <dcterms:modified xsi:type="dcterms:W3CDTF">2017-10-05T16:33:00Z</dcterms:modified>
</cp:coreProperties>
</file>