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D8299" w14:textId="6B524EFE" w:rsidR="007B71A5" w:rsidRPr="009E137F" w:rsidRDefault="009E137F" w:rsidP="00154574">
      <w:pPr>
        <w:spacing w:line="240" w:lineRule="auto"/>
        <w:ind w:right="-52"/>
        <w:jc w:val="center"/>
        <w:rPr>
          <w:rFonts w:ascii="Avenir Book" w:hAnsi="Avenir Book"/>
          <w:color w:val="1F3864" w:themeColor="accent1" w:themeShade="80"/>
        </w:rPr>
      </w:pPr>
      <w:r w:rsidRPr="009E137F">
        <w:rPr>
          <w:rFonts w:ascii="Avenir Book" w:hAnsi="Avenir Book"/>
          <w:b/>
          <w:color w:val="1F3864" w:themeColor="accent1" w:themeShade="80"/>
        </w:rPr>
        <w:t>ECOCOST::KATALOGAS PAGRINDINIAI FUNKCIONALUMAI</w:t>
      </w:r>
    </w:p>
    <w:tbl>
      <w:tblPr>
        <w:tblStyle w:val="TableGrid"/>
        <w:tblW w:w="9782" w:type="dxa"/>
        <w:tblInd w:w="-431" w:type="dxa"/>
        <w:tblLook w:val="04A0" w:firstRow="1" w:lastRow="0" w:firstColumn="1" w:lastColumn="0" w:noHBand="0" w:noVBand="1"/>
      </w:tblPr>
      <w:tblGrid>
        <w:gridCol w:w="494"/>
        <w:gridCol w:w="1643"/>
        <w:gridCol w:w="7645"/>
      </w:tblGrid>
      <w:tr w:rsidR="00154574" w:rsidRPr="00154574" w14:paraId="3E7E431E" w14:textId="77777777" w:rsidTr="009E137F">
        <w:tc>
          <w:tcPr>
            <w:tcW w:w="494" w:type="dxa"/>
            <w:shd w:val="clear" w:color="auto" w:fill="BFBFBF" w:themeFill="background1" w:themeFillShade="BF"/>
          </w:tcPr>
          <w:p w14:paraId="2DB80193" w14:textId="77777777" w:rsidR="007B71A5" w:rsidRPr="00154574" w:rsidRDefault="007B71A5" w:rsidP="00154574">
            <w:pPr>
              <w:spacing w:line="240" w:lineRule="auto"/>
              <w:jc w:val="center"/>
              <w:rPr>
                <w:rFonts w:ascii="Avenir Book" w:hAnsi="Avenir Book" w:cs="Times New Roman"/>
                <w:b/>
                <w:sz w:val="20"/>
                <w:szCs w:val="20"/>
              </w:rPr>
            </w:pPr>
            <w:r w:rsidRPr="00154574">
              <w:rPr>
                <w:rFonts w:ascii="Avenir Book" w:hAnsi="Avenir Book" w:cs="Times New Roman"/>
                <w:b/>
                <w:sz w:val="20"/>
                <w:szCs w:val="20"/>
              </w:rPr>
              <w:t>Nr.</w:t>
            </w:r>
          </w:p>
        </w:tc>
        <w:tc>
          <w:tcPr>
            <w:tcW w:w="1643" w:type="dxa"/>
            <w:shd w:val="clear" w:color="auto" w:fill="BFBFBF" w:themeFill="background1" w:themeFillShade="BF"/>
            <w:vAlign w:val="center"/>
          </w:tcPr>
          <w:p w14:paraId="07211DA7" w14:textId="77777777" w:rsidR="007B71A5" w:rsidRPr="00154574" w:rsidRDefault="007B71A5" w:rsidP="00154574">
            <w:pPr>
              <w:spacing w:line="240" w:lineRule="auto"/>
              <w:jc w:val="center"/>
              <w:rPr>
                <w:rFonts w:ascii="Avenir Book" w:hAnsi="Avenir Book" w:cs="Times New Roman"/>
                <w:b/>
                <w:sz w:val="20"/>
                <w:szCs w:val="20"/>
              </w:rPr>
            </w:pPr>
            <w:r w:rsidRPr="00154574">
              <w:rPr>
                <w:rFonts w:ascii="Avenir Book" w:hAnsi="Avenir Book" w:cs="Times New Roman"/>
                <w:b/>
                <w:sz w:val="20"/>
                <w:szCs w:val="20"/>
              </w:rPr>
              <w:t>Funkcionalumas</w:t>
            </w:r>
          </w:p>
        </w:tc>
        <w:tc>
          <w:tcPr>
            <w:tcW w:w="7645" w:type="dxa"/>
            <w:shd w:val="clear" w:color="auto" w:fill="BFBFBF" w:themeFill="background1" w:themeFillShade="BF"/>
            <w:vAlign w:val="center"/>
          </w:tcPr>
          <w:p w14:paraId="1C7B3A74" w14:textId="77777777" w:rsidR="007B71A5" w:rsidRPr="00154574" w:rsidRDefault="007B71A5" w:rsidP="00154574">
            <w:pPr>
              <w:spacing w:line="240" w:lineRule="auto"/>
              <w:ind w:right="933"/>
              <w:jc w:val="center"/>
              <w:rPr>
                <w:rFonts w:ascii="Avenir Book" w:hAnsi="Avenir Book" w:cs="Times New Roman"/>
                <w:b/>
                <w:sz w:val="20"/>
                <w:szCs w:val="20"/>
              </w:rPr>
            </w:pPr>
            <w:r w:rsidRPr="00154574">
              <w:rPr>
                <w:rFonts w:ascii="Avenir Book" w:hAnsi="Avenir Book" w:cs="Times New Roman"/>
                <w:b/>
                <w:sz w:val="20"/>
                <w:szCs w:val="20"/>
              </w:rPr>
              <w:t>Funkcionalumo aprašymas</w:t>
            </w:r>
          </w:p>
        </w:tc>
      </w:tr>
      <w:tr w:rsidR="00154574" w:rsidRPr="00154574" w14:paraId="20FEF605" w14:textId="77777777" w:rsidTr="009E137F">
        <w:tc>
          <w:tcPr>
            <w:tcW w:w="494" w:type="dxa"/>
          </w:tcPr>
          <w:p w14:paraId="0CE19A9C"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1</w:t>
            </w:r>
          </w:p>
        </w:tc>
        <w:tc>
          <w:tcPr>
            <w:tcW w:w="1643" w:type="dxa"/>
          </w:tcPr>
          <w:p w14:paraId="45F51BCD"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Katalogo sudarymas. Sudarytų sutarčių užsakymo objekto struktūros nustatymas</w:t>
            </w:r>
          </w:p>
        </w:tc>
        <w:tc>
          <w:tcPr>
            <w:tcW w:w="7645" w:type="dxa"/>
          </w:tcPr>
          <w:p w14:paraId="67386C19"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Sistemoje yra galimybė reikiamas teises turinčiam vartotojui pildyti ir atnaujinti prekių, paslaugų ir darbų katalogus: įtraukti į katalogus bei panaikinti naujas prekes, paslaugas ir darbus bei keisti ir pildyti į katalogus įtrauktų prekių, paslaugų ir darbų informaciją.</w:t>
            </w:r>
          </w:p>
          <w:p w14:paraId="7A97F91C"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Kiekvienos sudarytos sutarties užsakymo objekto struktūros ir pagrindinių parametrų duomenys gali būti perkelti iš Pirkimo vykdymo modulio arba šie duomenys gali būti kopijuojami iš jau įvestų sutarčių arba įvedami rankiniu būdu.</w:t>
            </w:r>
          </w:p>
          <w:p w14:paraId="333C94F1"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Pagrindiniai sutarčių užsakymo struktūros elementai yra: Dalis - Objektas - Parametras.</w:t>
            </w:r>
          </w:p>
          <w:p w14:paraId="29F99D25" w14:textId="77777777" w:rsidR="00B35331" w:rsidRDefault="00BE0B6A" w:rsidP="00154574">
            <w:pPr>
              <w:spacing w:line="240" w:lineRule="auto"/>
              <w:rPr>
                <w:rFonts w:ascii="Avenir Book" w:hAnsi="Avenir Book" w:cs="Times New Roman"/>
              </w:rPr>
            </w:pPr>
            <w:r>
              <w:rPr>
                <w:rFonts w:ascii="Avenir Book" w:hAnsi="Avenir Book" w:cs="Times New Roman"/>
              </w:rPr>
              <w:t>Yra galimybė sutarčių kategorijų matymą priskirti konkretiems vartotojams.</w:t>
            </w:r>
          </w:p>
          <w:p w14:paraId="6A808631" w14:textId="4E7797F0" w:rsidR="00BE0B6A" w:rsidRDefault="00BE0B6A" w:rsidP="00154574">
            <w:pPr>
              <w:spacing w:line="240" w:lineRule="auto"/>
              <w:rPr>
                <w:rFonts w:ascii="Avenir Book" w:hAnsi="Avenir Book" w:cs="Times New Roman"/>
              </w:rPr>
            </w:pPr>
            <w:r>
              <w:rPr>
                <w:rFonts w:ascii="Avenir Book" w:hAnsi="Avenir Book" w:cs="Times New Roman"/>
              </w:rPr>
              <w:t>Yra sutarties administratoriaus aplinka, kurioje yra pateikiama informacija apie sutartį: vertė, sudarymo data, galiojimo data, sutarties išpirkimo tipas, sutarties pozicijos, kita informacija, reikalinga tinkamam sutarties valdymui.</w:t>
            </w:r>
          </w:p>
          <w:p w14:paraId="362ABF70" w14:textId="7201E9EA" w:rsidR="00BE0B6A" w:rsidRPr="00154574" w:rsidRDefault="00BE0B6A" w:rsidP="00154574">
            <w:pPr>
              <w:spacing w:line="240" w:lineRule="auto"/>
              <w:rPr>
                <w:rFonts w:ascii="Avenir Book" w:hAnsi="Avenir Book" w:cs="Times New Roman"/>
              </w:rPr>
            </w:pPr>
            <w:r>
              <w:rPr>
                <w:rFonts w:ascii="Avenir Book" w:hAnsi="Avenir Book" w:cs="Times New Roman"/>
              </w:rPr>
              <w:t>Yra galimybė deaktyvuoti sutartis.</w:t>
            </w:r>
          </w:p>
        </w:tc>
      </w:tr>
      <w:tr w:rsidR="00154574" w:rsidRPr="00154574" w14:paraId="7293E648" w14:textId="77777777" w:rsidTr="009E137F">
        <w:tc>
          <w:tcPr>
            <w:tcW w:w="494" w:type="dxa"/>
          </w:tcPr>
          <w:p w14:paraId="7030D87C" w14:textId="5FA903C1"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2</w:t>
            </w:r>
          </w:p>
        </w:tc>
        <w:tc>
          <w:tcPr>
            <w:tcW w:w="1643" w:type="dxa"/>
          </w:tcPr>
          <w:p w14:paraId="1CEDEF81" w14:textId="46BA90AD" w:rsidR="007B71A5" w:rsidRPr="00154574" w:rsidRDefault="00BE0B6A" w:rsidP="00154574">
            <w:pPr>
              <w:spacing w:line="240" w:lineRule="auto"/>
              <w:rPr>
                <w:rFonts w:ascii="Avenir Book" w:hAnsi="Avenir Book" w:cs="Times New Roman"/>
              </w:rPr>
            </w:pPr>
            <w:r>
              <w:rPr>
                <w:rFonts w:ascii="Avenir Book" w:hAnsi="Avenir Book" w:cs="Times New Roman"/>
              </w:rPr>
              <w:t>Krepšelio</w:t>
            </w:r>
            <w:r w:rsidR="009E137F">
              <w:rPr>
                <w:rFonts w:ascii="Avenir Book" w:hAnsi="Avenir Book" w:cs="Times New Roman"/>
              </w:rPr>
              <w:t xml:space="preserve"> </w:t>
            </w:r>
            <w:bookmarkStart w:id="0" w:name="_GoBack"/>
            <w:bookmarkEnd w:id="0"/>
            <w:r w:rsidR="007B71A5" w:rsidRPr="00154574">
              <w:rPr>
                <w:rFonts w:ascii="Avenir Book" w:hAnsi="Avenir Book" w:cs="Times New Roman"/>
              </w:rPr>
              <w:t>formavimas</w:t>
            </w:r>
          </w:p>
          <w:p w14:paraId="6F09F569" w14:textId="77777777" w:rsidR="007B71A5" w:rsidRPr="00154574" w:rsidRDefault="007B71A5" w:rsidP="00154574">
            <w:pPr>
              <w:spacing w:line="240" w:lineRule="auto"/>
              <w:rPr>
                <w:rFonts w:ascii="Avenir Book" w:hAnsi="Avenir Book" w:cs="Times New Roman"/>
              </w:rPr>
            </w:pPr>
          </w:p>
        </w:tc>
        <w:tc>
          <w:tcPr>
            <w:tcW w:w="7645" w:type="dxa"/>
          </w:tcPr>
          <w:p w14:paraId="6C18BD45"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Sutarties užsakymo objektams pirkimo iniciatoriai gali nustatyti užsakomą kiekį formuojant užsakymą krepšelio principu (kaip elektroninėje parduotuvėje).</w:t>
            </w:r>
          </w:p>
          <w:p w14:paraId="0C21F149"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Pirkimo iniciatorius užsakymo krepšelyje turi galimybę matyti užsakymo vertę, struktūrą, atskirų objektų kainas ir kiekius.</w:t>
            </w:r>
          </w:p>
          <w:p w14:paraId="0D3242AF"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Užsakymai sistemoje yra išsaugomi bei gali būti redaguojami kelių vartotojų, kol užsakymas nepateikiamas tiekėjui.</w:t>
            </w:r>
          </w:p>
          <w:p w14:paraId="5D0CBB9C" w14:textId="77777777" w:rsidR="007B71A5" w:rsidRDefault="007B71A5" w:rsidP="00154574">
            <w:pPr>
              <w:spacing w:line="240" w:lineRule="auto"/>
              <w:rPr>
                <w:rFonts w:ascii="Avenir Book" w:hAnsi="Avenir Book" w:cs="Times New Roman"/>
              </w:rPr>
            </w:pPr>
            <w:r w:rsidRPr="00154574">
              <w:rPr>
                <w:rFonts w:ascii="Avenir Book" w:hAnsi="Avenir Book" w:cs="Times New Roman"/>
              </w:rPr>
              <w:t>Gali būti nustatyta, kad leidžiami užsakymai prekėms ir paslaugoms, kurių nėra kataloge. Tokiu atveju objekto pavadinimas, kaina ir kiekis įvedami į sistemą rankiniu būdu.</w:t>
            </w:r>
          </w:p>
          <w:p w14:paraId="171292C8" w14:textId="77777777" w:rsidR="00BE0B6A" w:rsidRDefault="00BE0B6A" w:rsidP="00154574">
            <w:pPr>
              <w:spacing w:line="240" w:lineRule="auto"/>
              <w:rPr>
                <w:rFonts w:ascii="Avenir Book" w:hAnsi="Avenir Book" w:cs="Times New Roman"/>
              </w:rPr>
            </w:pPr>
            <w:r>
              <w:rPr>
                <w:rFonts w:ascii="Avenir Book" w:hAnsi="Avenir Book" w:cs="Times New Roman"/>
              </w:rPr>
              <w:t>Yra galimybė suformuotą krepšelį teikti sutarties administratoriui arba kitam atsakingam asmeniui.</w:t>
            </w:r>
          </w:p>
          <w:p w14:paraId="16810635" w14:textId="77777777" w:rsidR="00BE0B6A" w:rsidRDefault="00BE0B6A" w:rsidP="00154574">
            <w:pPr>
              <w:spacing w:line="240" w:lineRule="auto"/>
              <w:rPr>
                <w:rFonts w:ascii="Avenir Book" w:hAnsi="Avenir Book" w:cs="Times New Roman"/>
              </w:rPr>
            </w:pPr>
            <w:r>
              <w:rPr>
                <w:rFonts w:ascii="Avenir Book" w:hAnsi="Avenir Book" w:cs="Times New Roman"/>
              </w:rPr>
              <w:t>Yra sutarties likučių tikrinimas, nesant pakankama likučiui užsakymas neformuojamas (vartotojui parodomas egzistuojantis likutis).</w:t>
            </w:r>
          </w:p>
          <w:p w14:paraId="5C34D9C9" w14:textId="1D64E8C7" w:rsidR="00BE0B6A" w:rsidRPr="00154574" w:rsidRDefault="00BE0B6A" w:rsidP="00154574">
            <w:pPr>
              <w:spacing w:line="240" w:lineRule="auto"/>
              <w:rPr>
                <w:rFonts w:ascii="Avenir Book" w:hAnsi="Avenir Book" w:cs="Times New Roman"/>
              </w:rPr>
            </w:pPr>
            <w:r>
              <w:rPr>
                <w:rFonts w:ascii="Avenir Book" w:hAnsi="Avenir Book" w:cs="Times New Roman"/>
              </w:rPr>
              <w:t>Sistema pati išskirsto užsakomus objektus pagal sutartis ir suformuoja atskirus užsakymus tiekėjams.</w:t>
            </w:r>
          </w:p>
        </w:tc>
      </w:tr>
      <w:tr w:rsidR="00154574" w:rsidRPr="00154574" w14:paraId="733D9515" w14:textId="77777777" w:rsidTr="009E137F">
        <w:tc>
          <w:tcPr>
            <w:tcW w:w="494" w:type="dxa"/>
          </w:tcPr>
          <w:p w14:paraId="2EF6586F" w14:textId="3FF28E2A"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3</w:t>
            </w:r>
          </w:p>
        </w:tc>
        <w:tc>
          <w:tcPr>
            <w:tcW w:w="1643" w:type="dxa"/>
          </w:tcPr>
          <w:p w14:paraId="3BAB72F7"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Užsakymų siuntimas tiekėjui</w:t>
            </w:r>
          </w:p>
          <w:p w14:paraId="3B664300" w14:textId="77777777" w:rsidR="007B71A5" w:rsidRPr="00154574" w:rsidRDefault="007B71A5" w:rsidP="00154574">
            <w:pPr>
              <w:spacing w:line="240" w:lineRule="auto"/>
              <w:rPr>
                <w:rFonts w:ascii="Avenir Book" w:hAnsi="Avenir Book" w:cs="Times New Roman"/>
              </w:rPr>
            </w:pPr>
          </w:p>
        </w:tc>
        <w:tc>
          <w:tcPr>
            <w:tcW w:w="7645" w:type="dxa"/>
          </w:tcPr>
          <w:p w14:paraId="5D252599" w14:textId="72326D01"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Užsakymas tiekėjui yra suf</w:t>
            </w:r>
            <w:r w:rsidR="00BE0B6A">
              <w:rPr>
                <w:rFonts w:ascii="Avenir Book" w:hAnsi="Avenir Book" w:cs="Times New Roman"/>
              </w:rPr>
              <w:t>ormuojamas ir išsiunčiamas el. p</w:t>
            </w:r>
            <w:r w:rsidRPr="00154574">
              <w:rPr>
                <w:rFonts w:ascii="Avenir Book" w:hAnsi="Avenir Book" w:cs="Times New Roman"/>
              </w:rPr>
              <w:t>aštu, nurodytu duomenų bazėje.</w:t>
            </w:r>
          </w:p>
          <w:p w14:paraId="138CA3C5" w14:textId="77777777" w:rsidR="007B71A5" w:rsidRDefault="007B71A5" w:rsidP="00154574">
            <w:pPr>
              <w:spacing w:line="240" w:lineRule="auto"/>
              <w:rPr>
                <w:rFonts w:ascii="Avenir Book" w:hAnsi="Avenir Book" w:cs="Times New Roman"/>
              </w:rPr>
            </w:pPr>
            <w:r w:rsidRPr="00154574">
              <w:rPr>
                <w:rFonts w:ascii="Avenir Book" w:hAnsi="Avenir Book" w:cs="Times New Roman"/>
              </w:rPr>
              <w:t>Sistemoje galima nustatyti, kad užsakymo duomenys yra pateikiami šiais formatais: txt; Excel, PDF.</w:t>
            </w:r>
          </w:p>
          <w:p w14:paraId="75204D2C" w14:textId="56FF0D0E" w:rsidR="00BE0B6A" w:rsidRPr="009E137F" w:rsidRDefault="00BE0B6A" w:rsidP="00154574">
            <w:pPr>
              <w:spacing w:line="240" w:lineRule="auto"/>
              <w:rPr>
                <w:rFonts w:ascii="Avenir Book" w:hAnsi="Avenir Book" w:cs="Times New Roman"/>
              </w:rPr>
            </w:pPr>
            <w:r>
              <w:rPr>
                <w:rFonts w:ascii="Avenir Book" w:hAnsi="Avenir Book" w:cs="Times New Roman"/>
              </w:rPr>
              <w:lastRenderedPageBreak/>
              <w:t>Užsakymo lape nurodomas: sutarties pavadinimas, numeris, data, užsakomi objektai, tiekėjo kontaktai, vartotojo kontaktai, pristatymo adresas, pristatymo data, kt.</w:t>
            </w:r>
          </w:p>
        </w:tc>
      </w:tr>
      <w:tr w:rsidR="00154574" w:rsidRPr="00154574" w14:paraId="24898945" w14:textId="77777777" w:rsidTr="009E137F">
        <w:tc>
          <w:tcPr>
            <w:tcW w:w="494" w:type="dxa"/>
          </w:tcPr>
          <w:p w14:paraId="1C8D2976" w14:textId="3F205432" w:rsidR="007B71A5" w:rsidRPr="00154574" w:rsidRDefault="007B71A5" w:rsidP="00154574">
            <w:pPr>
              <w:spacing w:line="240" w:lineRule="auto"/>
              <w:rPr>
                <w:rFonts w:ascii="Avenir Book" w:hAnsi="Avenir Book" w:cs="Times New Roman"/>
              </w:rPr>
            </w:pPr>
            <w:r w:rsidRPr="00154574">
              <w:rPr>
                <w:rFonts w:ascii="Avenir Book" w:hAnsi="Avenir Book" w:cs="Times New Roman"/>
              </w:rPr>
              <w:lastRenderedPageBreak/>
              <w:t>4</w:t>
            </w:r>
          </w:p>
        </w:tc>
        <w:tc>
          <w:tcPr>
            <w:tcW w:w="1643" w:type="dxa"/>
          </w:tcPr>
          <w:p w14:paraId="6E7C5DD2"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xml:space="preserve"> Sutarties vykdymo stebėsena ir kontrolė</w:t>
            </w:r>
          </w:p>
          <w:p w14:paraId="342825D8" w14:textId="77777777" w:rsidR="007B71A5" w:rsidRPr="00154574" w:rsidRDefault="007B71A5" w:rsidP="00154574">
            <w:pPr>
              <w:spacing w:line="240" w:lineRule="auto"/>
              <w:rPr>
                <w:rFonts w:ascii="Avenir Book" w:hAnsi="Avenir Book" w:cs="Times New Roman"/>
              </w:rPr>
            </w:pPr>
          </w:p>
        </w:tc>
        <w:tc>
          <w:tcPr>
            <w:tcW w:w="7645" w:type="dxa"/>
          </w:tcPr>
          <w:p w14:paraId="0340A052"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Sutarties nustatymuose galima nurodyti ribinius parametrus:</w:t>
            </w:r>
          </w:p>
          <w:p w14:paraId="61531CE3"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maksimalią visų užsakymų pagal sutartį vertę;</w:t>
            </w:r>
          </w:p>
          <w:p w14:paraId="4C882C06"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maksimalius užsakomus kiekius pagal objektus;</w:t>
            </w:r>
          </w:p>
          <w:p w14:paraId="1F0DC0D1"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užsakymų pateikimo periodą;</w:t>
            </w:r>
          </w:p>
          <w:p w14:paraId="6DAAD535"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vertės ribą užsakymų objektams, kurių nėra elektroniniame kataloge.</w:t>
            </w:r>
          </w:p>
          <w:p w14:paraId="4DC256CD"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Sistema praneša už sutarties vykdymą atsakingam asmeniu elektroniniu laišku apie sutarties vykdymo parametrų artėjimą prie kritinės ribos ( 80% - 90% - 95% - 100%)</w:t>
            </w:r>
          </w:p>
          <w:p w14:paraId="3388DCC0"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Sistema neleidžia pateikti užsakymo, jeigu pagal sistemos duomenis toks užsakymas viršytų maksimalius sutarties vykdymo parametrus.</w:t>
            </w:r>
          </w:p>
        </w:tc>
      </w:tr>
      <w:tr w:rsidR="00154574" w:rsidRPr="00154574" w14:paraId="539222BB" w14:textId="77777777" w:rsidTr="009E137F">
        <w:tc>
          <w:tcPr>
            <w:tcW w:w="494" w:type="dxa"/>
          </w:tcPr>
          <w:p w14:paraId="4B63D589"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5</w:t>
            </w:r>
          </w:p>
        </w:tc>
        <w:tc>
          <w:tcPr>
            <w:tcW w:w="1643" w:type="dxa"/>
          </w:tcPr>
          <w:p w14:paraId="5003CED2"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Sutarties vykdymo ataskaitos</w:t>
            </w:r>
          </w:p>
          <w:p w14:paraId="3D223744" w14:textId="77777777" w:rsidR="007B71A5" w:rsidRPr="00154574" w:rsidRDefault="007B71A5" w:rsidP="00154574">
            <w:pPr>
              <w:spacing w:line="240" w:lineRule="auto"/>
              <w:rPr>
                <w:rFonts w:ascii="Avenir Book" w:hAnsi="Avenir Book" w:cs="Times New Roman"/>
              </w:rPr>
            </w:pPr>
          </w:p>
        </w:tc>
        <w:tc>
          <w:tcPr>
            <w:tcW w:w="7645" w:type="dxa"/>
          </w:tcPr>
          <w:p w14:paraId="64AEF189"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Sistemoje generuojamos šios ataskaitos (PDF ir Excel formatu):</w:t>
            </w:r>
          </w:p>
          <w:p w14:paraId="2674F9B3"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Sutarties užsakymų sarašąs pagal iniciatorius;</w:t>
            </w:r>
          </w:p>
          <w:p w14:paraId="709C1533"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Sutarties išpirkimo procentai pagal objektus;</w:t>
            </w:r>
          </w:p>
          <w:p w14:paraId="2EE6492D"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prekių ir paslaugų, kurių nėra kataloge, bet kurios buvo užsakytos, sąrašas.</w:t>
            </w:r>
          </w:p>
        </w:tc>
      </w:tr>
      <w:tr w:rsidR="00154574" w:rsidRPr="00154574" w14:paraId="461CEC86" w14:textId="77777777" w:rsidTr="009E137F">
        <w:tc>
          <w:tcPr>
            <w:tcW w:w="494" w:type="dxa"/>
          </w:tcPr>
          <w:p w14:paraId="284B428A"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6</w:t>
            </w:r>
          </w:p>
        </w:tc>
        <w:tc>
          <w:tcPr>
            <w:tcW w:w="1643" w:type="dxa"/>
          </w:tcPr>
          <w:p w14:paraId="6A448378"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Gautų užsakymų sutikrinimas ir registravimas</w:t>
            </w:r>
          </w:p>
          <w:p w14:paraId="61747C8A" w14:textId="77777777" w:rsidR="007B71A5" w:rsidRPr="00154574" w:rsidRDefault="007B71A5" w:rsidP="00154574">
            <w:pPr>
              <w:spacing w:line="240" w:lineRule="auto"/>
              <w:rPr>
                <w:rFonts w:ascii="Avenir Book" w:hAnsi="Avenir Book" w:cs="Times New Roman"/>
              </w:rPr>
            </w:pPr>
          </w:p>
        </w:tc>
        <w:tc>
          <w:tcPr>
            <w:tcW w:w="7645" w:type="dxa"/>
          </w:tcPr>
          <w:p w14:paraId="4CDAB431"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Gautų prekių sąrašą galima sutikrinti su užsakytų prekių sąrašu BAR kodų skaitytuvo pagalba;</w:t>
            </w:r>
          </w:p>
          <w:p w14:paraId="7D3F9184" w14:textId="77777777" w:rsidR="007B71A5" w:rsidRPr="00154574" w:rsidRDefault="007B71A5" w:rsidP="00154574">
            <w:pPr>
              <w:spacing w:line="240" w:lineRule="auto"/>
              <w:rPr>
                <w:rFonts w:ascii="Avenir Book" w:hAnsi="Avenir Book" w:cs="Times New Roman"/>
              </w:rPr>
            </w:pPr>
            <w:r w:rsidRPr="00154574">
              <w:rPr>
                <w:rFonts w:ascii="Avenir Book" w:hAnsi="Avenir Book" w:cs="Times New Roman"/>
              </w:rPr>
              <w:t>- Gautų prekių informacija gali būti eksportuojama į Excel, XML, csv formato failus importavimui į kitas sistemas.</w:t>
            </w:r>
          </w:p>
          <w:p w14:paraId="11A4B4EB" w14:textId="77777777" w:rsidR="009E137F" w:rsidRDefault="009E137F" w:rsidP="009E137F">
            <w:pPr>
              <w:spacing w:line="240" w:lineRule="auto"/>
              <w:rPr>
                <w:rFonts w:ascii="Avenir Book" w:hAnsi="Avenir Book" w:cs="Times New Roman"/>
              </w:rPr>
            </w:pPr>
            <w:r>
              <w:rPr>
                <w:rFonts w:ascii="Avenir Book" w:hAnsi="Avenir Book" w:cs="Times New Roman"/>
              </w:rPr>
              <w:t>Sistemoje gautas užsakymas pažymimas kaip pilnai/nepilnai įvykdytas.</w:t>
            </w:r>
          </w:p>
          <w:p w14:paraId="76BD653F" w14:textId="77777777" w:rsidR="009E137F" w:rsidRDefault="009E137F" w:rsidP="009E137F">
            <w:pPr>
              <w:spacing w:line="240" w:lineRule="auto"/>
              <w:rPr>
                <w:rFonts w:ascii="Avenir Book" w:hAnsi="Avenir Book" w:cs="Times New Roman"/>
              </w:rPr>
            </w:pPr>
            <w:r>
              <w:rPr>
                <w:rFonts w:ascii="Avenir Book" w:hAnsi="Avenir Book" w:cs="Times New Roman"/>
              </w:rPr>
              <w:t>Pažymėjus, kad užsakymo vykdymas yra baigtas Sistema atlaisvina rezervuotus kiekius.</w:t>
            </w:r>
          </w:p>
          <w:p w14:paraId="5AE225D6" w14:textId="77777777" w:rsidR="009E137F" w:rsidRDefault="009E137F" w:rsidP="009E137F">
            <w:pPr>
              <w:spacing w:line="240" w:lineRule="auto"/>
              <w:rPr>
                <w:rFonts w:ascii="Avenir Book" w:hAnsi="Avenir Book" w:cs="Times New Roman"/>
              </w:rPr>
            </w:pPr>
            <w:r>
              <w:rPr>
                <w:rFonts w:ascii="Avenir Book" w:hAnsi="Avenir Book" w:cs="Times New Roman"/>
              </w:rPr>
              <w:t>Sistema leidžia priimti mažiau/daugiau užsakytų objektų.</w:t>
            </w:r>
          </w:p>
          <w:p w14:paraId="46765EBA" w14:textId="1078DA57" w:rsidR="00B35331" w:rsidRPr="00154574" w:rsidRDefault="009E137F" w:rsidP="00154574">
            <w:pPr>
              <w:spacing w:line="240" w:lineRule="auto"/>
              <w:rPr>
                <w:rFonts w:ascii="Avenir Book" w:hAnsi="Avenir Book" w:cs="Times New Roman"/>
              </w:rPr>
            </w:pPr>
            <w:r>
              <w:rPr>
                <w:rFonts w:ascii="Avenir Book" w:hAnsi="Avenir Book" w:cs="Times New Roman"/>
              </w:rPr>
              <w:t>Sistema leidžia užsakymą priimti per kelis kartus.</w:t>
            </w:r>
          </w:p>
        </w:tc>
      </w:tr>
    </w:tbl>
    <w:p w14:paraId="5EAA9A2F" w14:textId="77777777" w:rsidR="007B71A5" w:rsidRPr="00154574" w:rsidRDefault="007B71A5" w:rsidP="00154574">
      <w:pPr>
        <w:spacing w:line="240" w:lineRule="auto"/>
        <w:rPr>
          <w:rFonts w:ascii="Avenir Book" w:hAnsi="Avenir Book" w:cs="Times New Roman"/>
        </w:rPr>
      </w:pPr>
    </w:p>
    <w:p w14:paraId="51E9DE2E" w14:textId="77777777" w:rsidR="007B71A5" w:rsidRPr="00154574" w:rsidRDefault="007B71A5" w:rsidP="00154574">
      <w:pPr>
        <w:spacing w:line="240" w:lineRule="auto"/>
        <w:rPr>
          <w:rFonts w:ascii="Avenir Book" w:hAnsi="Avenir Book" w:cs="Times New Roman"/>
        </w:rPr>
      </w:pPr>
    </w:p>
    <w:p w14:paraId="13FD7423" w14:textId="77777777" w:rsidR="00217B48" w:rsidRPr="00154574" w:rsidRDefault="00217B48" w:rsidP="00154574">
      <w:pPr>
        <w:spacing w:line="240" w:lineRule="auto"/>
        <w:rPr>
          <w:rFonts w:ascii="Avenir Book" w:hAnsi="Avenir Book"/>
          <w:lang w:val="en-US"/>
        </w:rPr>
      </w:pPr>
    </w:p>
    <w:sectPr w:rsidR="00217B48" w:rsidRPr="00154574" w:rsidSect="009E137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806F" w14:textId="77777777" w:rsidR="00A20836" w:rsidRDefault="00A20836" w:rsidP="009E137F">
      <w:pPr>
        <w:spacing w:after="0" w:line="240" w:lineRule="auto"/>
      </w:pPr>
      <w:r>
        <w:separator/>
      </w:r>
    </w:p>
  </w:endnote>
  <w:endnote w:type="continuationSeparator" w:id="0">
    <w:p w14:paraId="29B4487D" w14:textId="77777777" w:rsidR="00A20836" w:rsidRDefault="00A20836" w:rsidP="009E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9171" w14:textId="77777777" w:rsidR="009E137F" w:rsidRDefault="009E137F" w:rsidP="00812D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1B410" w14:textId="77777777" w:rsidR="009E137F" w:rsidRDefault="009E137F" w:rsidP="009E13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C497" w14:textId="77777777" w:rsidR="009E137F" w:rsidRDefault="009E137F" w:rsidP="00812D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836">
      <w:rPr>
        <w:rStyle w:val="PageNumber"/>
        <w:noProof/>
      </w:rPr>
      <w:t>1</w:t>
    </w:r>
    <w:r>
      <w:rPr>
        <w:rStyle w:val="PageNumber"/>
      </w:rPr>
      <w:fldChar w:fldCharType="end"/>
    </w:r>
  </w:p>
  <w:p w14:paraId="7756D290" w14:textId="77777777" w:rsidR="009E137F" w:rsidRDefault="009E137F" w:rsidP="009E13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41F21" w14:textId="77777777" w:rsidR="00A20836" w:rsidRDefault="00A20836" w:rsidP="009E137F">
      <w:pPr>
        <w:spacing w:after="0" w:line="240" w:lineRule="auto"/>
      </w:pPr>
      <w:r>
        <w:separator/>
      </w:r>
    </w:p>
  </w:footnote>
  <w:footnote w:type="continuationSeparator" w:id="0">
    <w:p w14:paraId="03D3C47D" w14:textId="77777777" w:rsidR="00A20836" w:rsidRDefault="00A20836" w:rsidP="009E1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A5"/>
    <w:rsid w:val="000E642D"/>
    <w:rsid w:val="00154574"/>
    <w:rsid w:val="00217B48"/>
    <w:rsid w:val="006B5D6A"/>
    <w:rsid w:val="007B71A5"/>
    <w:rsid w:val="009E137F"/>
    <w:rsid w:val="00A20836"/>
    <w:rsid w:val="00B31E9F"/>
    <w:rsid w:val="00B35331"/>
    <w:rsid w:val="00BE0B6A"/>
    <w:rsid w:val="00C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FCD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1A5"/>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1A5"/>
    <w:rPr>
      <w:rFonts w:ascii="Arial" w:hAnsi="Arial" w:cs="Arial"/>
      <w:sz w:val="20"/>
      <w:szCs w:val="20"/>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E1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37F"/>
    <w:rPr>
      <w:sz w:val="22"/>
      <w:szCs w:val="22"/>
      <w:lang w:val="lt-LT"/>
    </w:rPr>
  </w:style>
  <w:style w:type="character" w:styleId="PageNumber">
    <w:name w:val="page number"/>
    <w:basedOn w:val="DefaultParagraphFont"/>
    <w:uiPriority w:val="99"/>
    <w:semiHidden/>
    <w:unhideWhenUsed/>
    <w:rsid w:val="009E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568</Words>
  <Characters>3241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Regvyta Gelumbauskiene</dc:creator>
  <cp:keywords/>
  <dc:description/>
  <cp:lastModifiedBy>Regvyta Gelumbauskiene</cp:lastModifiedBy>
  <cp:revision>2</cp:revision>
  <dcterms:created xsi:type="dcterms:W3CDTF">2017-11-23T14:58:00Z</dcterms:created>
  <dcterms:modified xsi:type="dcterms:W3CDTF">2017-12-05T13:49:00Z</dcterms:modified>
</cp:coreProperties>
</file>